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70B" w:rsidRPr="00BE108E" w:rsidRDefault="00A527BE" w:rsidP="00B93BB7">
      <w:pPr>
        <w:pStyle w:val="1"/>
      </w:pPr>
      <w:r>
        <w:t>Сводный г</w:t>
      </w:r>
      <w:r w:rsidR="004135B6" w:rsidRPr="00BE108E">
        <w:t xml:space="preserve">одовой </w:t>
      </w:r>
      <w:r>
        <w:t>доклад</w:t>
      </w:r>
      <w:r w:rsidR="004135B6" w:rsidRPr="00BE108E">
        <w:t xml:space="preserve"> о ходе реализации и оценке эффективности государственных программ Мурманской области за 2014 год</w:t>
      </w:r>
    </w:p>
    <w:p w:rsidR="009C670B" w:rsidRPr="00BE108E" w:rsidRDefault="009C670B" w:rsidP="009C670B">
      <w:pPr>
        <w:pStyle w:val="330"/>
        <w:shd w:val="clear" w:color="auto" w:fill="auto"/>
        <w:spacing w:before="0" w:after="0" w:line="240" w:lineRule="auto"/>
        <w:ind w:right="-1"/>
        <w:rPr>
          <w:rFonts w:cs="Times New Roman"/>
          <w:b w:val="0"/>
          <w:sz w:val="28"/>
          <w:szCs w:val="28"/>
        </w:rPr>
      </w:pPr>
    </w:p>
    <w:p w:rsidR="004135B6" w:rsidRPr="00BE108E" w:rsidRDefault="004135B6" w:rsidP="004135B6">
      <w:pPr>
        <w:rPr>
          <w:rFonts w:cs="Times New Roman"/>
          <w:szCs w:val="28"/>
        </w:rPr>
      </w:pPr>
      <w:r w:rsidRPr="00BE108E">
        <w:rPr>
          <w:rFonts w:cs="Times New Roman"/>
          <w:szCs w:val="28"/>
        </w:rPr>
        <w:t>Отчет подготовлен в соответствии с Порядком разработки, реализации и оценки эффективности государственных программ Мурманской области на основании сведений, представленных ответственными исполнителями государственных программ Мурманской области.</w:t>
      </w:r>
    </w:p>
    <w:p w:rsidR="004135B6" w:rsidRPr="00BE108E" w:rsidRDefault="004135B6" w:rsidP="004135B6">
      <w:pPr>
        <w:rPr>
          <w:rFonts w:cs="Times New Roman"/>
          <w:szCs w:val="28"/>
        </w:rPr>
      </w:pPr>
      <w:r w:rsidRPr="00BE108E">
        <w:rPr>
          <w:rFonts w:cs="Times New Roman"/>
          <w:szCs w:val="28"/>
        </w:rPr>
        <w:t xml:space="preserve">По состоянию </w:t>
      </w:r>
      <w:proofErr w:type="gramStart"/>
      <w:r w:rsidRPr="00BE108E">
        <w:rPr>
          <w:rFonts w:cs="Times New Roman"/>
          <w:szCs w:val="28"/>
        </w:rPr>
        <w:t>на конец</w:t>
      </w:r>
      <w:proofErr w:type="gramEnd"/>
      <w:r w:rsidRPr="00BE108E">
        <w:rPr>
          <w:rFonts w:cs="Times New Roman"/>
          <w:szCs w:val="28"/>
        </w:rPr>
        <w:t xml:space="preserve"> 2014 года общий объем финансирования, запланированный на реализацию 17 государственных программ, составил 74,3 млрд. рублей, в том числе за счет средств областного бюджета 47,5 млрд. рублей.</w:t>
      </w:r>
    </w:p>
    <w:p w:rsidR="004135B6" w:rsidRPr="00BE108E" w:rsidRDefault="004135B6" w:rsidP="004135B6">
      <w:pPr>
        <w:rPr>
          <w:rFonts w:cs="Times New Roman"/>
          <w:szCs w:val="28"/>
        </w:rPr>
      </w:pPr>
      <w:r w:rsidRPr="00BE108E">
        <w:rPr>
          <w:rFonts w:cs="Times New Roman"/>
          <w:szCs w:val="28"/>
        </w:rPr>
        <w:t>Фактическое исполнение на 31 декабря 2014 года составило 72,6 млрд. рублей – 97,6% от запланированных на год объемов</w:t>
      </w:r>
      <w:r w:rsidR="00F0651A">
        <w:rPr>
          <w:rFonts w:cs="Times New Roman"/>
          <w:szCs w:val="28"/>
        </w:rPr>
        <w:t xml:space="preserve"> (таблица 1)</w:t>
      </w:r>
      <w:r w:rsidRPr="00BE108E">
        <w:rPr>
          <w:rFonts w:cs="Times New Roman"/>
          <w:szCs w:val="28"/>
        </w:rPr>
        <w:t>. Следует отметить более высокую (на 3,</w:t>
      </w:r>
      <w:r w:rsidR="00EC4455" w:rsidRPr="00BE108E">
        <w:rPr>
          <w:rFonts w:cs="Times New Roman"/>
          <w:szCs w:val="28"/>
        </w:rPr>
        <w:t>6</w:t>
      </w:r>
      <w:r w:rsidRPr="00BE108E">
        <w:rPr>
          <w:rFonts w:cs="Times New Roman"/>
          <w:szCs w:val="28"/>
        </w:rPr>
        <w:t xml:space="preserve"> п.п. выше) степень освоения средств по отношению к </w:t>
      </w:r>
      <w:r w:rsidR="00EC4455" w:rsidRPr="00BE108E">
        <w:rPr>
          <w:rFonts w:cs="Times New Roman"/>
          <w:szCs w:val="28"/>
        </w:rPr>
        <w:t>2013</w:t>
      </w:r>
      <w:r w:rsidRPr="00BE108E">
        <w:rPr>
          <w:rFonts w:cs="Times New Roman"/>
          <w:szCs w:val="28"/>
        </w:rPr>
        <w:t xml:space="preserve"> год</w:t>
      </w:r>
      <w:r w:rsidR="00EC4455" w:rsidRPr="00BE108E">
        <w:rPr>
          <w:rFonts w:cs="Times New Roman"/>
          <w:szCs w:val="28"/>
        </w:rPr>
        <w:t>у</w:t>
      </w:r>
      <w:r w:rsidRPr="00BE108E">
        <w:rPr>
          <w:rFonts w:cs="Times New Roman"/>
          <w:szCs w:val="28"/>
        </w:rPr>
        <w:t xml:space="preserve"> (94%</w:t>
      </w:r>
      <w:r w:rsidR="00F0651A">
        <w:rPr>
          <w:rFonts w:cs="Times New Roman"/>
          <w:szCs w:val="28"/>
        </w:rPr>
        <w:t xml:space="preserve"> в целом по долгосрочным и ведомственным целевым программам)</w:t>
      </w:r>
      <w:r w:rsidRPr="00BE108E">
        <w:rPr>
          <w:rFonts w:cs="Times New Roman"/>
          <w:szCs w:val="28"/>
        </w:rPr>
        <w:t>.</w:t>
      </w:r>
    </w:p>
    <w:p w:rsidR="004135B6" w:rsidRPr="00BE108E" w:rsidRDefault="004135B6" w:rsidP="004135B6">
      <w:pPr>
        <w:rPr>
          <w:rFonts w:cs="Times New Roman"/>
          <w:szCs w:val="28"/>
        </w:rPr>
      </w:pPr>
      <w:proofErr w:type="gramStart"/>
      <w:r w:rsidRPr="00BE108E">
        <w:rPr>
          <w:rFonts w:cs="Times New Roman"/>
          <w:szCs w:val="28"/>
        </w:rPr>
        <w:t>Фактическое</w:t>
      </w:r>
      <w:proofErr w:type="gramEnd"/>
      <w:r w:rsidRPr="00BE108E">
        <w:rPr>
          <w:rFonts w:cs="Times New Roman"/>
          <w:szCs w:val="28"/>
        </w:rPr>
        <w:t xml:space="preserve"> софинансирование мероприятий государственных программ за счет средств федерального</w:t>
      </w:r>
      <w:r w:rsidR="00DD31DF">
        <w:rPr>
          <w:rFonts w:cs="Times New Roman"/>
          <w:szCs w:val="28"/>
        </w:rPr>
        <w:t xml:space="preserve"> бюджета </w:t>
      </w:r>
      <w:r w:rsidR="00DD31DF" w:rsidRPr="00BE108E">
        <w:rPr>
          <w:rFonts w:cs="Times New Roman"/>
          <w:szCs w:val="28"/>
        </w:rPr>
        <w:t xml:space="preserve">составило </w:t>
      </w:r>
      <w:r w:rsidR="00DD31DF">
        <w:rPr>
          <w:rFonts w:cs="Times New Roman"/>
          <w:szCs w:val="28"/>
        </w:rPr>
        <w:t>89,9</w:t>
      </w:r>
      <w:r w:rsidR="00DD31DF" w:rsidRPr="00BE108E">
        <w:rPr>
          <w:rFonts w:cs="Times New Roman"/>
          <w:szCs w:val="28"/>
        </w:rPr>
        <w:t>% от предусмотренного годового объема</w:t>
      </w:r>
      <w:r w:rsidR="00DD31DF">
        <w:rPr>
          <w:rFonts w:cs="Times New Roman"/>
          <w:szCs w:val="28"/>
        </w:rPr>
        <w:t>,</w:t>
      </w:r>
      <w:r w:rsidRPr="00BE108E">
        <w:rPr>
          <w:rFonts w:cs="Times New Roman"/>
          <w:szCs w:val="28"/>
        </w:rPr>
        <w:t xml:space="preserve"> местных бюджетов</w:t>
      </w:r>
      <w:r w:rsidR="00DD31DF">
        <w:rPr>
          <w:rFonts w:cs="Times New Roman"/>
          <w:szCs w:val="28"/>
        </w:rPr>
        <w:t xml:space="preserve"> – 72,9%</w:t>
      </w:r>
      <w:r w:rsidRPr="00BE108E">
        <w:rPr>
          <w:rFonts w:cs="Times New Roman"/>
          <w:szCs w:val="28"/>
        </w:rPr>
        <w:t>, внебюджетных источников</w:t>
      </w:r>
      <w:r w:rsidR="00DD31DF">
        <w:rPr>
          <w:rFonts w:cs="Times New Roman"/>
          <w:szCs w:val="28"/>
        </w:rPr>
        <w:t xml:space="preserve"> – 100,3%</w:t>
      </w:r>
      <w:r w:rsidRPr="00BE108E">
        <w:rPr>
          <w:rFonts w:cs="Times New Roman"/>
          <w:szCs w:val="28"/>
        </w:rPr>
        <w:t xml:space="preserve">. </w:t>
      </w:r>
    </w:p>
    <w:p w:rsidR="004135B6" w:rsidRPr="00BE108E" w:rsidRDefault="00F0651A" w:rsidP="004135B6">
      <w:pPr>
        <w:jc w:val="right"/>
        <w:rPr>
          <w:rFonts w:cs="Times New Roman"/>
          <w:sz w:val="24"/>
          <w:szCs w:val="24"/>
        </w:rPr>
      </w:pPr>
      <w:r>
        <w:rPr>
          <w:rFonts w:cs="Times New Roman"/>
          <w:sz w:val="24"/>
          <w:szCs w:val="24"/>
        </w:rPr>
        <w:t>Таблица 1</w:t>
      </w:r>
    </w:p>
    <w:tbl>
      <w:tblPr>
        <w:tblW w:w="9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9"/>
        <w:gridCol w:w="1973"/>
        <w:gridCol w:w="1701"/>
        <w:gridCol w:w="2122"/>
      </w:tblGrid>
      <w:tr w:rsidR="004135B6" w:rsidRPr="00BE108E" w:rsidTr="00DD31DF">
        <w:trPr>
          <w:trHeight w:val="300"/>
          <w:jc w:val="center"/>
        </w:trPr>
        <w:tc>
          <w:tcPr>
            <w:tcW w:w="35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35B6" w:rsidRPr="00BE108E" w:rsidRDefault="004135B6" w:rsidP="006E047B">
            <w:pPr>
              <w:ind w:firstLine="0"/>
              <w:jc w:val="center"/>
              <w:rPr>
                <w:rFonts w:eastAsia="Times New Roman" w:cs="Times New Roman"/>
                <w:color w:val="000000"/>
                <w:sz w:val="24"/>
              </w:rPr>
            </w:pPr>
          </w:p>
        </w:tc>
        <w:tc>
          <w:tcPr>
            <w:tcW w:w="19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35B6" w:rsidRPr="00BE108E" w:rsidRDefault="004135B6" w:rsidP="006E047B">
            <w:pPr>
              <w:ind w:firstLine="0"/>
              <w:jc w:val="center"/>
              <w:rPr>
                <w:rFonts w:eastAsia="Times New Roman" w:cs="Times New Roman"/>
                <w:color w:val="000000"/>
                <w:sz w:val="24"/>
              </w:rPr>
            </w:pPr>
            <w:r w:rsidRPr="00BE108E">
              <w:rPr>
                <w:rFonts w:eastAsia="Times New Roman" w:cs="Times New Roman"/>
                <w:color w:val="000000"/>
                <w:sz w:val="24"/>
              </w:rPr>
              <w:t>Запланировано на год</w:t>
            </w:r>
            <w:r w:rsidR="00F0651A">
              <w:rPr>
                <w:rFonts w:eastAsia="Times New Roman" w:cs="Times New Roman"/>
                <w:color w:val="000000"/>
                <w:sz w:val="24"/>
              </w:rPr>
              <w:t>,</w:t>
            </w:r>
            <w:r w:rsidR="00F0651A" w:rsidRPr="00BE108E">
              <w:rPr>
                <w:rFonts w:cs="Times New Roman"/>
                <w:sz w:val="24"/>
                <w:szCs w:val="24"/>
              </w:rPr>
              <w:t xml:space="preserve"> млн. рублей</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35B6" w:rsidRPr="00BE108E" w:rsidRDefault="0038534A" w:rsidP="006E047B">
            <w:pPr>
              <w:ind w:firstLine="0"/>
              <w:jc w:val="center"/>
              <w:rPr>
                <w:rFonts w:eastAsia="Times New Roman" w:cs="Times New Roman"/>
                <w:color w:val="000000"/>
                <w:sz w:val="24"/>
              </w:rPr>
            </w:pPr>
            <w:r w:rsidRPr="00BE108E">
              <w:rPr>
                <w:rFonts w:eastAsia="Times New Roman" w:cs="Times New Roman"/>
                <w:color w:val="000000"/>
                <w:sz w:val="24"/>
              </w:rPr>
              <w:t>Кассовое</w:t>
            </w:r>
            <w:r w:rsidR="004135B6" w:rsidRPr="00BE108E">
              <w:rPr>
                <w:rFonts w:eastAsia="Times New Roman" w:cs="Times New Roman"/>
                <w:color w:val="000000"/>
                <w:sz w:val="24"/>
              </w:rPr>
              <w:t xml:space="preserve"> исполнение</w:t>
            </w:r>
            <w:r w:rsidR="00F0651A">
              <w:rPr>
                <w:rFonts w:eastAsia="Times New Roman" w:cs="Times New Roman"/>
                <w:color w:val="000000"/>
                <w:sz w:val="24"/>
              </w:rPr>
              <w:t>,</w:t>
            </w:r>
            <w:r w:rsidR="00F0651A" w:rsidRPr="00BE108E">
              <w:rPr>
                <w:rFonts w:cs="Times New Roman"/>
                <w:sz w:val="24"/>
                <w:szCs w:val="24"/>
              </w:rPr>
              <w:t xml:space="preserve"> млн. рублей</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35B6" w:rsidRPr="00BE108E" w:rsidRDefault="004135B6" w:rsidP="006E047B">
            <w:pPr>
              <w:ind w:firstLine="0"/>
              <w:jc w:val="center"/>
              <w:rPr>
                <w:rFonts w:eastAsia="Times New Roman" w:cs="Times New Roman"/>
                <w:color w:val="000000"/>
                <w:sz w:val="24"/>
              </w:rPr>
            </w:pPr>
            <w:r w:rsidRPr="00BE108E">
              <w:rPr>
                <w:rFonts w:eastAsia="Times New Roman" w:cs="Times New Roman"/>
                <w:color w:val="000000"/>
                <w:sz w:val="24"/>
              </w:rPr>
              <w:t>Степень освоения средств</w:t>
            </w:r>
          </w:p>
        </w:tc>
      </w:tr>
      <w:tr w:rsidR="0038534A" w:rsidRPr="00BE108E" w:rsidTr="00DD31DF">
        <w:trPr>
          <w:trHeight w:val="300"/>
          <w:jc w:val="center"/>
        </w:trPr>
        <w:tc>
          <w:tcPr>
            <w:tcW w:w="3529" w:type="dxa"/>
            <w:shd w:val="clear" w:color="auto" w:fill="auto"/>
            <w:noWrap/>
            <w:vAlign w:val="center"/>
            <w:hideMark/>
          </w:tcPr>
          <w:p w:rsidR="0038534A" w:rsidRPr="00BE108E" w:rsidRDefault="0038534A" w:rsidP="006E047B">
            <w:pPr>
              <w:ind w:firstLine="0"/>
              <w:jc w:val="left"/>
              <w:rPr>
                <w:rFonts w:eastAsia="Times New Roman" w:cs="Times New Roman"/>
                <w:color w:val="000000"/>
                <w:sz w:val="24"/>
                <w:szCs w:val="24"/>
              </w:rPr>
            </w:pPr>
            <w:r w:rsidRPr="00BE108E">
              <w:rPr>
                <w:rFonts w:eastAsia="Times New Roman" w:cs="Times New Roman"/>
                <w:color w:val="000000"/>
                <w:sz w:val="24"/>
                <w:szCs w:val="24"/>
              </w:rPr>
              <w:t xml:space="preserve">Всего по государственным программам </w:t>
            </w:r>
            <w:r w:rsidRPr="00BE108E">
              <w:rPr>
                <w:rFonts w:eastAsia="Times New Roman" w:cs="Times New Roman"/>
                <w:b/>
                <w:color w:val="000000"/>
                <w:sz w:val="24"/>
                <w:szCs w:val="24"/>
              </w:rPr>
              <w:t>за 2014 год</w:t>
            </w:r>
            <w:r w:rsidRPr="00BE108E">
              <w:rPr>
                <w:rFonts w:eastAsia="Times New Roman" w:cs="Times New Roman"/>
                <w:color w:val="000000"/>
                <w:sz w:val="24"/>
                <w:szCs w:val="24"/>
              </w:rPr>
              <w:t>, в т.ч:</w:t>
            </w:r>
          </w:p>
        </w:tc>
        <w:tc>
          <w:tcPr>
            <w:tcW w:w="1973" w:type="dxa"/>
            <w:shd w:val="clear" w:color="auto" w:fill="auto"/>
            <w:noWrap/>
            <w:vAlign w:val="center"/>
            <w:hideMark/>
          </w:tcPr>
          <w:p w:rsidR="0038534A" w:rsidRPr="00BE108E" w:rsidRDefault="0038534A" w:rsidP="006E047B">
            <w:pPr>
              <w:ind w:firstLine="0"/>
              <w:jc w:val="right"/>
              <w:rPr>
                <w:rFonts w:cs="Times New Roman"/>
                <w:b/>
                <w:sz w:val="24"/>
                <w:szCs w:val="24"/>
              </w:rPr>
            </w:pPr>
            <w:r w:rsidRPr="00BE108E">
              <w:rPr>
                <w:rFonts w:cs="Times New Roman"/>
                <w:b/>
                <w:sz w:val="24"/>
                <w:szCs w:val="24"/>
              </w:rPr>
              <w:t>74 342,8</w:t>
            </w:r>
          </w:p>
        </w:tc>
        <w:tc>
          <w:tcPr>
            <w:tcW w:w="1701" w:type="dxa"/>
            <w:shd w:val="clear" w:color="auto" w:fill="auto"/>
            <w:noWrap/>
            <w:vAlign w:val="center"/>
            <w:hideMark/>
          </w:tcPr>
          <w:p w:rsidR="0038534A" w:rsidRPr="00BE108E" w:rsidRDefault="0038534A" w:rsidP="006E047B">
            <w:pPr>
              <w:ind w:firstLine="0"/>
              <w:jc w:val="right"/>
              <w:rPr>
                <w:rFonts w:cs="Times New Roman"/>
                <w:b/>
                <w:sz w:val="24"/>
                <w:szCs w:val="24"/>
              </w:rPr>
            </w:pPr>
            <w:r w:rsidRPr="00BE108E">
              <w:rPr>
                <w:rFonts w:cs="Times New Roman"/>
                <w:b/>
                <w:sz w:val="24"/>
                <w:szCs w:val="24"/>
              </w:rPr>
              <w:t>72 559,2</w:t>
            </w:r>
          </w:p>
        </w:tc>
        <w:tc>
          <w:tcPr>
            <w:tcW w:w="2122" w:type="dxa"/>
            <w:shd w:val="clear" w:color="auto" w:fill="auto"/>
            <w:noWrap/>
            <w:vAlign w:val="center"/>
            <w:hideMark/>
          </w:tcPr>
          <w:p w:rsidR="0038534A" w:rsidRPr="00BE108E" w:rsidRDefault="0038534A" w:rsidP="006E047B">
            <w:pPr>
              <w:ind w:firstLine="0"/>
              <w:jc w:val="center"/>
              <w:rPr>
                <w:rFonts w:cs="Times New Roman"/>
                <w:b/>
                <w:sz w:val="24"/>
                <w:szCs w:val="24"/>
              </w:rPr>
            </w:pPr>
            <w:r w:rsidRPr="00BE108E">
              <w:rPr>
                <w:rFonts w:cs="Times New Roman"/>
                <w:b/>
                <w:sz w:val="24"/>
                <w:szCs w:val="24"/>
              </w:rPr>
              <w:t>97,6%</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ОБ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47 497,1</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46 484,8</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97,9%</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ФБ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5 718,5</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5 142,5</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89,9%</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МБ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913</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665,7</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72,9%</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ВБС</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20 214,1</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20 266,3</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100,3%</w:t>
            </w:r>
          </w:p>
        </w:tc>
      </w:tr>
      <w:tr w:rsidR="0038534A" w:rsidRPr="00BE108E" w:rsidTr="00DD31DF">
        <w:trPr>
          <w:trHeight w:val="300"/>
          <w:jc w:val="center"/>
        </w:trPr>
        <w:tc>
          <w:tcPr>
            <w:tcW w:w="3529" w:type="dxa"/>
            <w:shd w:val="clear" w:color="auto" w:fill="auto"/>
            <w:noWrap/>
            <w:vAlign w:val="center"/>
            <w:hideMark/>
          </w:tcPr>
          <w:p w:rsidR="0038534A" w:rsidRPr="00BE108E" w:rsidRDefault="003C1DB0" w:rsidP="006E047B">
            <w:pPr>
              <w:ind w:firstLine="0"/>
              <w:jc w:val="left"/>
              <w:rPr>
                <w:rFonts w:eastAsia="Times New Roman" w:cs="Times New Roman"/>
                <w:color w:val="000000"/>
                <w:sz w:val="24"/>
                <w:szCs w:val="24"/>
              </w:rPr>
            </w:pPr>
            <w:r w:rsidRPr="00BE108E">
              <w:rPr>
                <w:rFonts w:cs="Times New Roman"/>
                <w:color w:val="000000"/>
                <w:sz w:val="24"/>
                <w:szCs w:val="24"/>
              </w:rPr>
              <w:t xml:space="preserve">Всего по целевым программам (ДЦП, ВЦП, АВЦП) </w:t>
            </w:r>
            <w:r w:rsidRPr="00BE108E">
              <w:rPr>
                <w:rFonts w:cs="Times New Roman"/>
                <w:b/>
                <w:color w:val="000000"/>
                <w:sz w:val="24"/>
                <w:szCs w:val="24"/>
              </w:rPr>
              <w:t>за 2013 год</w:t>
            </w:r>
            <w:r w:rsidRPr="00BE108E">
              <w:rPr>
                <w:rFonts w:cs="Times New Roman"/>
                <w:color w:val="000000"/>
                <w:sz w:val="24"/>
                <w:szCs w:val="24"/>
              </w:rPr>
              <w:t>, в т.ч:</w:t>
            </w:r>
          </w:p>
        </w:tc>
        <w:tc>
          <w:tcPr>
            <w:tcW w:w="1973" w:type="dxa"/>
            <w:shd w:val="clear" w:color="auto" w:fill="auto"/>
            <w:noWrap/>
            <w:vAlign w:val="center"/>
            <w:hideMark/>
          </w:tcPr>
          <w:p w:rsidR="0038534A" w:rsidRPr="00BE108E" w:rsidRDefault="0038534A" w:rsidP="006E047B">
            <w:pPr>
              <w:ind w:firstLine="0"/>
              <w:jc w:val="right"/>
              <w:rPr>
                <w:rFonts w:cs="Times New Roman"/>
                <w:b/>
                <w:sz w:val="24"/>
                <w:szCs w:val="24"/>
              </w:rPr>
            </w:pPr>
            <w:r w:rsidRPr="00BE108E">
              <w:rPr>
                <w:rFonts w:cs="Times New Roman"/>
                <w:b/>
                <w:sz w:val="24"/>
                <w:szCs w:val="24"/>
              </w:rPr>
              <w:t>52 806,9</w:t>
            </w:r>
          </w:p>
        </w:tc>
        <w:tc>
          <w:tcPr>
            <w:tcW w:w="1701" w:type="dxa"/>
            <w:shd w:val="clear" w:color="auto" w:fill="auto"/>
            <w:noWrap/>
            <w:vAlign w:val="center"/>
            <w:hideMark/>
          </w:tcPr>
          <w:p w:rsidR="0038534A" w:rsidRPr="00BE108E" w:rsidRDefault="0038534A" w:rsidP="006E047B">
            <w:pPr>
              <w:ind w:firstLine="0"/>
              <w:jc w:val="right"/>
              <w:rPr>
                <w:rFonts w:cs="Times New Roman"/>
                <w:b/>
                <w:sz w:val="24"/>
                <w:szCs w:val="24"/>
              </w:rPr>
            </w:pPr>
            <w:r w:rsidRPr="00BE108E">
              <w:rPr>
                <w:rFonts w:cs="Times New Roman"/>
                <w:b/>
                <w:sz w:val="24"/>
                <w:szCs w:val="24"/>
              </w:rPr>
              <w:t>49 662,4</w:t>
            </w:r>
          </w:p>
        </w:tc>
        <w:tc>
          <w:tcPr>
            <w:tcW w:w="2122" w:type="dxa"/>
            <w:shd w:val="clear" w:color="auto" w:fill="auto"/>
            <w:noWrap/>
            <w:vAlign w:val="center"/>
            <w:hideMark/>
          </w:tcPr>
          <w:p w:rsidR="0038534A" w:rsidRPr="00BE108E" w:rsidRDefault="0038534A" w:rsidP="006E047B">
            <w:pPr>
              <w:ind w:firstLine="0"/>
              <w:jc w:val="center"/>
              <w:rPr>
                <w:rFonts w:cs="Times New Roman"/>
                <w:b/>
                <w:sz w:val="24"/>
                <w:szCs w:val="24"/>
              </w:rPr>
            </w:pPr>
            <w:r w:rsidRPr="00BE108E">
              <w:rPr>
                <w:rFonts w:cs="Times New Roman"/>
                <w:b/>
                <w:sz w:val="24"/>
                <w:szCs w:val="24"/>
              </w:rPr>
              <w:t>94,0%</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ОБ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42 471,9</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40 461,7</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95,3%</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ФБ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6 815,6</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6 219,8</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91,3%</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МБ</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1 194,7</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742,8</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62,2%</w:t>
            </w:r>
          </w:p>
        </w:tc>
      </w:tr>
      <w:tr w:rsidR="0038534A" w:rsidRPr="00BE108E" w:rsidTr="00DD31DF">
        <w:trPr>
          <w:trHeight w:val="340"/>
          <w:jc w:val="center"/>
        </w:trPr>
        <w:tc>
          <w:tcPr>
            <w:tcW w:w="3529" w:type="dxa"/>
            <w:shd w:val="clear" w:color="auto" w:fill="auto"/>
            <w:noWrap/>
            <w:vAlign w:val="center"/>
            <w:hideMark/>
          </w:tcPr>
          <w:p w:rsidR="0038534A" w:rsidRPr="00BE108E" w:rsidRDefault="0038534A" w:rsidP="006E047B">
            <w:pPr>
              <w:ind w:firstLine="0"/>
              <w:jc w:val="right"/>
              <w:rPr>
                <w:rFonts w:eastAsia="Times New Roman" w:cs="Times New Roman"/>
                <w:color w:val="000000"/>
                <w:sz w:val="24"/>
                <w:szCs w:val="24"/>
              </w:rPr>
            </w:pPr>
            <w:r w:rsidRPr="00BE108E">
              <w:rPr>
                <w:rFonts w:eastAsia="Times New Roman" w:cs="Times New Roman"/>
                <w:color w:val="000000"/>
                <w:sz w:val="24"/>
                <w:szCs w:val="24"/>
              </w:rPr>
              <w:t>ВБС</w:t>
            </w:r>
          </w:p>
        </w:tc>
        <w:tc>
          <w:tcPr>
            <w:tcW w:w="1973"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2 324,7</w:t>
            </w:r>
          </w:p>
        </w:tc>
        <w:tc>
          <w:tcPr>
            <w:tcW w:w="1701" w:type="dxa"/>
            <w:shd w:val="clear" w:color="auto" w:fill="auto"/>
            <w:noWrap/>
            <w:vAlign w:val="center"/>
            <w:hideMark/>
          </w:tcPr>
          <w:p w:rsidR="0038534A" w:rsidRPr="00BE108E" w:rsidRDefault="0038534A" w:rsidP="006E047B">
            <w:pPr>
              <w:ind w:firstLine="0"/>
              <w:jc w:val="right"/>
              <w:rPr>
                <w:rFonts w:cs="Times New Roman"/>
                <w:sz w:val="24"/>
                <w:szCs w:val="24"/>
              </w:rPr>
            </w:pPr>
            <w:r w:rsidRPr="00BE108E">
              <w:rPr>
                <w:rFonts w:cs="Times New Roman"/>
                <w:sz w:val="24"/>
                <w:szCs w:val="24"/>
              </w:rPr>
              <w:t>2 238,2</w:t>
            </w:r>
          </w:p>
        </w:tc>
        <w:tc>
          <w:tcPr>
            <w:tcW w:w="2122" w:type="dxa"/>
            <w:shd w:val="clear" w:color="auto" w:fill="auto"/>
            <w:noWrap/>
            <w:vAlign w:val="center"/>
            <w:hideMark/>
          </w:tcPr>
          <w:p w:rsidR="0038534A" w:rsidRPr="00BE108E" w:rsidRDefault="0038534A" w:rsidP="006E047B">
            <w:pPr>
              <w:ind w:firstLine="0"/>
              <w:jc w:val="center"/>
              <w:rPr>
                <w:rFonts w:cs="Times New Roman"/>
                <w:sz w:val="24"/>
                <w:szCs w:val="24"/>
              </w:rPr>
            </w:pPr>
            <w:r w:rsidRPr="00BE108E">
              <w:rPr>
                <w:rFonts w:cs="Times New Roman"/>
                <w:sz w:val="24"/>
                <w:szCs w:val="24"/>
              </w:rPr>
              <w:t>96,3%</w:t>
            </w:r>
          </w:p>
        </w:tc>
      </w:tr>
    </w:tbl>
    <w:p w:rsidR="008232C6" w:rsidRDefault="008232C6" w:rsidP="002308BD">
      <w:pPr>
        <w:rPr>
          <w:rFonts w:cs="Times New Roman"/>
          <w:szCs w:val="28"/>
        </w:rPr>
      </w:pPr>
      <w:r w:rsidRPr="00BE108E">
        <w:rPr>
          <w:rFonts w:cs="Times New Roman"/>
          <w:szCs w:val="28"/>
        </w:rPr>
        <w:t xml:space="preserve">Подавляющая часть от общего объема расходов на реализацию </w:t>
      </w:r>
      <w:r w:rsidR="002308BD" w:rsidRPr="00BE108E">
        <w:rPr>
          <w:rFonts w:cs="Times New Roman"/>
          <w:szCs w:val="28"/>
        </w:rPr>
        <w:t xml:space="preserve">государственных </w:t>
      </w:r>
      <w:r w:rsidRPr="00BE108E">
        <w:rPr>
          <w:rFonts w:cs="Times New Roman"/>
          <w:szCs w:val="28"/>
        </w:rPr>
        <w:t>программ (79%) приходится на 5 программ:</w:t>
      </w:r>
      <w:r w:rsidR="002308BD" w:rsidRPr="00BE108E">
        <w:rPr>
          <w:rFonts w:cs="Times New Roman"/>
          <w:szCs w:val="28"/>
        </w:rPr>
        <w:t xml:space="preserve"> «Развитие здравоохранения», «Развитие образования», «Социальная поддержка граждан и развитие социально-трудовых отношений», «Энергоэффективность и развитие энергетики», «Управление региональными финансами, создание условий для эффективного и ответственного управления муниципальными финансами».</w:t>
      </w:r>
      <w:r w:rsidR="00AF5BF5" w:rsidRPr="00BE108E">
        <w:rPr>
          <w:rFonts w:cs="Times New Roman"/>
          <w:szCs w:val="28"/>
        </w:rPr>
        <w:t xml:space="preserve"> По всем указанным программам отмечается высокая степень </w:t>
      </w:r>
      <w:r w:rsidR="00AF5BF5" w:rsidRPr="00BE108E">
        <w:rPr>
          <w:rFonts w:cs="Times New Roman"/>
          <w:szCs w:val="28"/>
        </w:rPr>
        <w:lastRenderedPageBreak/>
        <w:t xml:space="preserve">освоения предусмотренных средств </w:t>
      </w:r>
      <w:r w:rsidR="00F0651A" w:rsidRPr="00BE108E">
        <w:rPr>
          <w:rFonts w:cs="Times New Roman"/>
          <w:szCs w:val="28"/>
        </w:rPr>
        <w:t>(98,4% от общего планового объема)</w:t>
      </w:r>
      <w:r w:rsidR="00F0651A">
        <w:rPr>
          <w:rFonts w:cs="Times New Roman"/>
          <w:szCs w:val="28"/>
        </w:rPr>
        <w:t xml:space="preserve"> </w:t>
      </w:r>
      <w:r w:rsidR="00AF5BF5" w:rsidRPr="00BE108E">
        <w:rPr>
          <w:rFonts w:cs="Times New Roman"/>
          <w:szCs w:val="28"/>
        </w:rPr>
        <w:t>по всем источникам</w:t>
      </w:r>
      <w:r w:rsidR="00F0651A">
        <w:rPr>
          <w:rFonts w:cs="Times New Roman"/>
          <w:szCs w:val="28"/>
        </w:rPr>
        <w:t xml:space="preserve"> (Рисунок 1)</w:t>
      </w:r>
      <w:r w:rsidR="00AF5BF5" w:rsidRPr="00BE108E">
        <w:rPr>
          <w:rFonts w:cs="Times New Roman"/>
          <w:szCs w:val="28"/>
        </w:rPr>
        <w:t>.</w:t>
      </w:r>
    </w:p>
    <w:p w:rsidR="00DD31DF" w:rsidRPr="00BE108E" w:rsidRDefault="00DD31DF" w:rsidP="002308BD">
      <w:pPr>
        <w:rPr>
          <w:rFonts w:cs="Times New Roman"/>
          <w:szCs w:val="28"/>
        </w:rPr>
      </w:pPr>
    </w:p>
    <w:p w:rsidR="008232C6" w:rsidRPr="00BE108E" w:rsidRDefault="002308BD" w:rsidP="006E047B">
      <w:pPr>
        <w:ind w:firstLine="0"/>
        <w:rPr>
          <w:rFonts w:cs="Times New Roman"/>
          <w:szCs w:val="28"/>
        </w:rPr>
      </w:pPr>
      <w:r w:rsidRPr="00BE108E">
        <w:rPr>
          <w:rFonts w:cs="Times New Roman"/>
          <w:noProof/>
        </w:rPr>
        <w:drawing>
          <wp:inline distT="0" distB="0" distL="0" distR="0">
            <wp:extent cx="6049926" cy="4391247"/>
            <wp:effectExtent l="0" t="0" r="2730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232C6" w:rsidRPr="00F0651A" w:rsidRDefault="00F0651A" w:rsidP="00F0651A">
      <w:pPr>
        <w:jc w:val="center"/>
        <w:rPr>
          <w:rFonts w:cs="Times New Roman"/>
          <w:sz w:val="24"/>
          <w:szCs w:val="28"/>
        </w:rPr>
      </w:pPr>
      <w:r w:rsidRPr="00F0651A">
        <w:rPr>
          <w:rFonts w:cs="Times New Roman"/>
          <w:sz w:val="24"/>
          <w:szCs w:val="28"/>
        </w:rPr>
        <w:t>Рисунок 1</w:t>
      </w:r>
    </w:p>
    <w:p w:rsidR="003E2A69" w:rsidRPr="00BE108E" w:rsidRDefault="003E2A69" w:rsidP="00BE5AE0">
      <w:pPr>
        <w:rPr>
          <w:rFonts w:cs="Times New Roman"/>
          <w:szCs w:val="28"/>
        </w:rPr>
      </w:pPr>
      <w:r w:rsidRPr="00BE108E">
        <w:rPr>
          <w:rFonts w:cs="Times New Roman"/>
          <w:szCs w:val="28"/>
        </w:rPr>
        <w:t xml:space="preserve">На реализацию оставшихся 12 программ в 2014 году израсходовано 15,2 млрд. рублей, что составляет менее 21% всех расходов. При этом степень освоения средств </w:t>
      </w:r>
      <w:r w:rsidR="006D088C" w:rsidRPr="00BE108E">
        <w:rPr>
          <w:rFonts w:cs="Times New Roman"/>
          <w:szCs w:val="28"/>
        </w:rPr>
        <w:t xml:space="preserve">по </w:t>
      </w:r>
      <w:r w:rsidRPr="00BE108E">
        <w:rPr>
          <w:rFonts w:cs="Times New Roman"/>
          <w:szCs w:val="28"/>
        </w:rPr>
        <w:t>указанны</w:t>
      </w:r>
      <w:r w:rsidR="006D088C" w:rsidRPr="00BE108E">
        <w:rPr>
          <w:rFonts w:cs="Times New Roman"/>
          <w:szCs w:val="28"/>
        </w:rPr>
        <w:t>м</w:t>
      </w:r>
      <w:r w:rsidRPr="00BE108E">
        <w:rPr>
          <w:rFonts w:cs="Times New Roman"/>
          <w:szCs w:val="28"/>
        </w:rPr>
        <w:t xml:space="preserve"> программ</w:t>
      </w:r>
      <w:r w:rsidR="006D088C" w:rsidRPr="00BE108E">
        <w:rPr>
          <w:rFonts w:cs="Times New Roman"/>
          <w:szCs w:val="28"/>
        </w:rPr>
        <w:t>ам</w:t>
      </w:r>
      <w:r w:rsidRPr="00BE108E">
        <w:rPr>
          <w:rFonts w:cs="Times New Roman"/>
          <w:szCs w:val="28"/>
        </w:rPr>
        <w:t xml:space="preserve"> значительно ниже – 94,7% от планового объема</w:t>
      </w:r>
      <w:r w:rsidR="00F0651A">
        <w:rPr>
          <w:rFonts w:cs="Times New Roman"/>
          <w:szCs w:val="28"/>
        </w:rPr>
        <w:t xml:space="preserve"> (Рисунок 2)</w:t>
      </w:r>
      <w:r w:rsidRPr="00BE108E">
        <w:rPr>
          <w:rFonts w:cs="Times New Roman"/>
          <w:szCs w:val="28"/>
        </w:rPr>
        <w:t>.</w:t>
      </w:r>
    </w:p>
    <w:p w:rsidR="003E2A69" w:rsidRPr="00BE108E" w:rsidRDefault="003E2A69">
      <w:pPr>
        <w:rPr>
          <w:rFonts w:cs="Times New Roman"/>
          <w:szCs w:val="28"/>
        </w:rPr>
      </w:pPr>
    </w:p>
    <w:p w:rsidR="003E2A69" w:rsidRPr="00BE108E" w:rsidRDefault="003E2A69" w:rsidP="00BE5AE0">
      <w:pPr>
        <w:rPr>
          <w:rFonts w:cs="Times New Roman"/>
          <w:szCs w:val="28"/>
        </w:rPr>
        <w:sectPr w:rsidR="003E2A69" w:rsidRPr="00BE108E" w:rsidSect="00DD31DF">
          <w:headerReference w:type="default" r:id="rId9"/>
          <w:pgSz w:w="11906" w:h="16838"/>
          <w:pgMar w:top="1134" w:right="850" w:bottom="1134" w:left="1701" w:header="708" w:footer="708" w:gutter="0"/>
          <w:cols w:space="708"/>
          <w:titlePg/>
          <w:docGrid w:linePitch="381"/>
        </w:sectPr>
      </w:pPr>
    </w:p>
    <w:p w:rsidR="003E2A69" w:rsidRPr="00BE108E" w:rsidRDefault="00AF5BF5" w:rsidP="00CD51CC">
      <w:pPr>
        <w:ind w:firstLine="0"/>
        <w:rPr>
          <w:rFonts w:cs="Times New Roman"/>
          <w:szCs w:val="28"/>
        </w:rPr>
      </w:pPr>
      <w:r w:rsidRPr="00BE108E">
        <w:rPr>
          <w:rFonts w:cs="Times New Roman"/>
          <w:noProof/>
        </w:rPr>
        <w:lastRenderedPageBreak/>
        <w:drawing>
          <wp:inline distT="0" distB="0" distL="0" distR="0">
            <wp:extent cx="9346019" cy="6134986"/>
            <wp:effectExtent l="0" t="0" r="26670" b="1841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651A" w:rsidRDefault="00F0651A" w:rsidP="00F0651A">
      <w:pPr>
        <w:jc w:val="center"/>
        <w:rPr>
          <w:rFonts w:cs="Times New Roman"/>
          <w:szCs w:val="28"/>
        </w:rPr>
      </w:pPr>
      <w:r w:rsidRPr="00F0651A">
        <w:rPr>
          <w:rFonts w:cs="Times New Roman"/>
          <w:sz w:val="24"/>
          <w:szCs w:val="28"/>
        </w:rPr>
        <w:t xml:space="preserve">Рисунок </w:t>
      </w:r>
      <w:r>
        <w:rPr>
          <w:rFonts w:cs="Times New Roman"/>
          <w:sz w:val="24"/>
          <w:szCs w:val="28"/>
        </w:rPr>
        <w:t>2</w:t>
      </w:r>
    </w:p>
    <w:p w:rsidR="00F0651A" w:rsidRDefault="00F0651A" w:rsidP="00F0651A">
      <w:pPr>
        <w:rPr>
          <w:rFonts w:cs="Times New Roman"/>
          <w:szCs w:val="28"/>
        </w:rPr>
      </w:pPr>
    </w:p>
    <w:p w:rsidR="003E2A69" w:rsidRPr="00F0651A" w:rsidRDefault="003E2A69" w:rsidP="00F0651A">
      <w:pPr>
        <w:rPr>
          <w:rFonts w:cs="Times New Roman"/>
          <w:szCs w:val="28"/>
        </w:rPr>
        <w:sectPr w:rsidR="003E2A69" w:rsidRPr="00F0651A" w:rsidSect="00F0651A">
          <w:pgSz w:w="16838" w:h="11906" w:orient="landscape"/>
          <w:pgMar w:top="851" w:right="1134" w:bottom="567" w:left="1134" w:header="709" w:footer="709" w:gutter="0"/>
          <w:cols w:space="708"/>
          <w:docGrid w:linePitch="360"/>
        </w:sectPr>
      </w:pPr>
    </w:p>
    <w:p w:rsidR="00BE5AE0" w:rsidRPr="00841D1A" w:rsidRDefault="00BE5AE0" w:rsidP="00BE5AE0">
      <w:pPr>
        <w:rPr>
          <w:rFonts w:cs="Times New Roman"/>
          <w:szCs w:val="28"/>
        </w:rPr>
      </w:pPr>
      <w:r w:rsidRPr="00BE108E">
        <w:rPr>
          <w:rFonts w:cs="Times New Roman"/>
          <w:szCs w:val="28"/>
        </w:rPr>
        <w:lastRenderedPageBreak/>
        <w:t xml:space="preserve">Наименьшая степень освоения финансирования отмечается по </w:t>
      </w:r>
      <w:r w:rsidRPr="00841D1A">
        <w:rPr>
          <w:rFonts w:cs="Times New Roman"/>
          <w:szCs w:val="28"/>
        </w:rPr>
        <w:t xml:space="preserve">государственным программам: </w:t>
      </w:r>
    </w:p>
    <w:p w:rsidR="00BE5AE0" w:rsidRPr="00BE108E" w:rsidRDefault="00BE5AE0" w:rsidP="00841D1A">
      <w:pPr>
        <w:numPr>
          <w:ilvl w:val="0"/>
          <w:numId w:val="4"/>
        </w:numPr>
        <w:tabs>
          <w:tab w:val="left" w:pos="993"/>
        </w:tabs>
        <w:ind w:left="0" w:firstLine="709"/>
        <w:rPr>
          <w:rFonts w:cs="Times New Roman"/>
          <w:szCs w:val="28"/>
        </w:rPr>
      </w:pPr>
      <w:proofErr w:type="gramStart"/>
      <w:r w:rsidRPr="00841D1A">
        <w:rPr>
          <w:rFonts w:cs="Times New Roman"/>
          <w:szCs w:val="28"/>
        </w:rPr>
        <w:t xml:space="preserve">«Развитие сельского хозяйства и регулирование рынков сельскохозяйственной продукции, сырья и продовольствия» – 79,1% (неосвоение запланированных объемов </w:t>
      </w:r>
      <w:r w:rsidR="00841D1A" w:rsidRPr="00841D1A">
        <w:rPr>
          <w:rFonts w:eastAsia="Times New Roman"/>
        </w:rPr>
        <w:t xml:space="preserve">средств на частичное возмещение процентной ставки по кредитам </w:t>
      </w:r>
      <w:r w:rsidR="00841D1A">
        <w:rPr>
          <w:rFonts w:eastAsia="Times New Roman"/>
        </w:rPr>
        <w:t xml:space="preserve">на </w:t>
      </w:r>
      <w:r w:rsidR="00841D1A" w:rsidRPr="00BE108E">
        <w:t>закупку техник</w:t>
      </w:r>
      <w:r w:rsidR="00841D1A">
        <w:t>и</w:t>
      </w:r>
      <w:r w:rsidR="00841D1A" w:rsidRPr="00BE108E">
        <w:t xml:space="preserve"> и оборудования</w:t>
      </w:r>
      <w:r w:rsidR="00841D1A" w:rsidRPr="00841D1A">
        <w:rPr>
          <w:rFonts w:eastAsia="Times New Roman"/>
        </w:rPr>
        <w:t xml:space="preserve"> </w:t>
      </w:r>
      <w:r w:rsidR="00841D1A">
        <w:rPr>
          <w:rFonts w:eastAsia="Times New Roman"/>
        </w:rPr>
        <w:t xml:space="preserve">по причине </w:t>
      </w:r>
      <w:r w:rsidR="00841D1A" w:rsidRPr="00841D1A">
        <w:rPr>
          <w:rFonts w:eastAsia="Times New Roman"/>
        </w:rPr>
        <w:t>перенос</w:t>
      </w:r>
      <w:r w:rsidR="00841D1A">
        <w:rPr>
          <w:rFonts w:eastAsia="Times New Roman"/>
        </w:rPr>
        <w:t>а</w:t>
      </w:r>
      <w:r w:rsidR="00841D1A" w:rsidRPr="00841D1A">
        <w:rPr>
          <w:rFonts w:eastAsia="Times New Roman"/>
        </w:rPr>
        <w:t xml:space="preserve"> срока гашения основного долга и уплаты процентов на 2015 год, </w:t>
      </w:r>
      <w:r w:rsidR="00841D1A">
        <w:rPr>
          <w:rFonts w:eastAsia="Times New Roman"/>
        </w:rPr>
        <w:t xml:space="preserve">невыполнение части </w:t>
      </w:r>
      <w:r w:rsidR="00F125FF">
        <w:rPr>
          <w:rFonts w:eastAsia="Times New Roman"/>
        </w:rPr>
        <w:t xml:space="preserve">запланированных </w:t>
      </w:r>
      <w:r w:rsidR="00841D1A">
        <w:rPr>
          <w:rFonts w:eastAsia="Times New Roman"/>
        </w:rPr>
        <w:t>р</w:t>
      </w:r>
      <w:r w:rsidR="00841D1A" w:rsidRPr="00841D1A">
        <w:rPr>
          <w:rFonts w:eastAsia="Times New Roman"/>
        </w:rPr>
        <w:t xml:space="preserve">абот по модернизации производств и приобретению оборудования </w:t>
      </w:r>
      <w:r w:rsidR="00841D1A">
        <w:rPr>
          <w:rFonts w:eastAsia="Times New Roman"/>
        </w:rPr>
        <w:t xml:space="preserve">в связи с </w:t>
      </w:r>
      <w:r w:rsidR="00841D1A" w:rsidRPr="00841D1A">
        <w:t>дефицит</w:t>
      </w:r>
      <w:r w:rsidR="00841D1A">
        <w:t>ом</w:t>
      </w:r>
      <w:r w:rsidR="00841D1A" w:rsidRPr="00841D1A">
        <w:t xml:space="preserve"> собственных средств</w:t>
      </w:r>
      <w:r w:rsidR="00F125FF" w:rsidRPr="00F125FF">
        <w:t xml:space="preserve"> </w:t>
      </w:r>
      <w:r w:rsidR="00F125FF" w:rsidRPr="00841D1A">
        <w:t>предприяти</w:t>
      </w:r>
      <w:r w:rsidR="00F125FF">
        <w:t>й</w:t>
      </w:r>
      <w:r w:rsidR="00841D1A">
        <w:t>)</w:t>
      </w:r>
      <w:r w:rsidR="002308BD" w:rsidRPr="00BE108E">
        <w:rPr>
          <w:rFonts w:cs="Times New Roman"/>
          <w:szCs w:val="28"/>
        </w:rPr>
        <w:t>;</w:t>
      </w:r>
      <w:proofErr w:type="gramEnd"/>
    </w:p>
    <w:p w:rsidR="00BE5AE0" w:rsidRPr="00BE108E" w:rsidRDefault="00BE5AE0" w:rsidP="00BE5AE0">
      <w:pPr>
        <w:numPr>
          <w:ilvl w:val="0"/>
          <w:numId w:val="4"/>
        </w:numPr>
        <w:tabs>
          <w:tab w:val="left" w:pos="993"/>
        </w:tabs>
        <w:ind w:left="0" w:firstLine="709"/>
        <w:rPr>
          <w:rFonts w:cs="Times New Roman"/>
          <w:szCs w:val="28"/>
        </w:rPr>
      </w:pPr>
      <w:r w:rsidRPr="00BE108E">
        <w:rPr>
          <w:rFonts w:cs="Times New Roman"/>
          <w:szCs w:val="28"/>
        </w:rPr>
        <w:t xml:space="preserve"> «Управление развитием регионального рынка труда» – 85,4% (не в полной мере освоен запланированный объем средств федерального бюджета на осуществление социальных выплат гражданам, признанным в установленном порядке безработными, в связи со снижением численности безработных, а также сокращением объемов выплачиваемых стипендий гражданам, проходящим профессиональное обучение по направлению органов службы занятости)</w:t>
      </w:r>
      <w:r w:rsidR="002308BD" w:rsidRPr="00BE108E">
        <w:rPr>
          <w:rFonts w:cs="Times New Roman"/>
          <w:szCs w:val="28"/>
        </w:rPr>
        <w:t>;</w:t>
      </w:r>
    </w:p>
    <w:p w:rsidR="002308BD" w:rsidRPr="00BE108E" w:rsidRDefault="002308BD" w:rsidP="00B454AE">
      <w:pPr>
        <w:numPr>
          <w:ilvl w:val="0"/>
          <w:numId w:val="4"/>
        </w:numPr>
        <w:tabs>
          <w:tab w:val="left" w:pos="993"/>
        </w:tabs>
        <w:ind w:left="0" w:firstLine="709"/>
        <w:rPr>
          <w:rFonts w:cs="Times New Roman"/>
          <w:szCs w:val="28"/>
        </w:rPr>
      </w:pPr>
      <w:r w:rsidRPr="00BE108E">
        <w:rPr>
          <w:rFonts w:cs="Times New Roman"/>
          <w:szCs w:val="28"/>
        </w:rPr>
        <w:t>«Обеспечение комфортной среды проживания населения региона» – 88,9% (</w:t>
      </w:r>
      <w:r w:rsidR="006D088C" w:rsidRPr="00BE108E">
        <w:rPr>
          <w:rFonts w:cs="Times New Roman"/>
          <w:szCs w:val="28"/>
        </w:rPr>
        <w:t>позднее перечисление федеральных средств на проведение работ по капитальному ремонту многоквартирных домов, невыполнение мероприятия по реконструкции системы водоснабжения г.п. Ревда</w:t>
      </w:r>
      <w:r w:rsidRPr="00BE108E">
        <w:rPr>
          <w:rFonts w:cs="Times New Roman"/>
          <w:szCs w:val="28"/>
        </w:rPr>
        <w:t xml:space="preserve">); </w:t>
      </w:r>
    </w:p>
    <w:p w:rsidR="00BE5AE0" w:rsidRPr="00BE108E" w:rsidRDefault="002308BD" w:rsidP="002308BD">
      <w:pPr>
        <w:numPr>
          <w:ilvl w:val="0"/>
          <w:numId w:val="4"/>
        </w:numPr>
        <w:tabs>
          <w:tab w:val="left" w:pos="993"/>
        </w:tabs>
        <w:ind w:left="0" w:firstLine="709"/>
        <w:rPr>
          <w:rFonts w:cs="Times New Roman"/>
          <w:szCs w:val="28"/>
        </w:rPr>
      </w:pPr>
      <w:r w:rsidRPr="00BE108E">
        <w:rPr>
          <w:rFonts w:cs="Times New Roman"/>
          <w:szCs w:val="28"/>
        </w:rPr>
        <w:t xml:space="preserve"> </w:t>
      </w:r>
      <w:r w:rsidR="00BE5AE0" w:rsidRPr="00BE108E">
        <w:rPr>
          <w:rFonts w:cs="Times New Roman"/>
          <w:szCs w:val="28"/>
        </w:rPr>
        <w:t xml:space="preserve">«Развитие культуры» – 89,5% (отставание от графиков производства работ </w:t>
      </w:r>
      <w:r w:rsidR="00BB7884" w:rsidRPr="00BE108E">
        <w:rPr>
          <w:rFonts w:cs="Times New Roman"/>
          <w:szCs w:val="28"/>
        </w:rPr>
        <w:t>по реконструкции здания Мурманского областного драматического театра и по разработке ПСД на реконструкцию здания Мурманского областного театра кукол</w:t>
      </w:r>
      <w:r w:rsidR="00BE5AE0" w:rsidRPr="00BE108E">
        <w:rPr>
          <w:rFonts w:cs="Times New Roman"/>
          <w:szCs w:val="28"/>
        </w:rPr>
        <w:t>).</w:t>
      </w:r>
    </w:p>
    <w:p w:rsidR="0038534A" w:rsidRPr="00BE108E" w:rsidRDefault="008232C6" w:rsidP="0038534A">
      <w:pPr>
        <w:rPr>
          <w:rFonts w:cs="Times New Roman"/>
          <w:szCs w:val="28"/>
        </w:rPr>
      </w:pPr>
      <w:r w:rsidRPr="00BE108E">
        <w:rPr>
          <w:rFonts w:cs="Times New Roman"/>
          <w:szCs w:val="28"/>
        </w:rPr>
        <w:t>И</w:t>
      </w:r>
      <w:r w:rsidR="0038534A" w:rsidRPr="00BE108E">
        <w:rPr>
          <w:rFonts w:cs="Times New Roman"/>
          <w:szCs w:val="28"/>
        </w:rPr>
        <w:t>нформация о ходе исполнения государственных программ за 2014 год представлена в приложении 1.</w:t>
      </w:r>
    </w:p>
    <w:p w:rsidR="00CD51CC" w:rsidRPr="00BE108E" w:rsidRDefault="00CD51CC" w:rsidP="00CD51CC">
      <w:pPr>
        <w:pStyle w:val="330"/>
        <w:shd w:val="clear" w:color="auto" w:fill="auto"/>
        <w:spacing w:before="0" w:after="0" w:line="240" w:lineRule="auto"/>
        <w:ind w:right="-1"/>
        <w:rPr>
          <w:rFonts w:cs="Times New Roman"/>
          <w:b w:val="0"/>
          <w:sz w:val="28"/>
          <w:szCs w:val="28"/>
        </w:rPr>
      </w:pPr>
      <w:r w:rsidRPr="00BE108E">
        <w:rPr>
          <w:rFonts w:cs="Times New Roman"/>
          <w:b w:val="0"/>
          <w:sz w:val="28"/>
          <w:szCs w:val="28"/>
        </w:rPr>
        <w:t>Всего по государственным программам в 2014 году было предусмотрено к достижению 680 показателей, из которых</w:t>
      </w:r>
      <w:r w:rsidR="00F0651A">
        <w:rPr>
          <w:rFonts w:cs="Times New Roman"/>
          <w:b w:val="0"/>
          <w:sz w:val="28"/>
          <w:szCs w:val="28"/>
        </w:rPr>
        <w:t xml:space="preserve"> (Рисунок 3)</w:t>
      </w:r>
      <w:r w:rsidRPr="00BE108E">
        <w:rPr>
          <w:rFonts w:cs="Times New Roman"/>
          <w:b w:val="0"/>
          <w:sz w:val="28"/>
          <w:szCs w:val="28"/>
        </w:rPr>
        <w:t>:</w:t>
      </w:r>
    </w:p>
    <w:p w:rsidR="00CD51CC" w:rsidRPr="00BE108E" w:rsidRDefault="00CD51CC" w:rsidP="00CD51CC">
      <w:pPr>
        <w:pStyle w:val="330"/>
        <w:numPr>
          <w:ilvl w:val="0"/>
          <w:numId w:val="1"/>
        </w:numPr>
        <w:shd w:val="clear" w:color="auto" w:fill="auto"/>
        <w:tabs>
          <w:tab w:val="left" w:pos="1276"/>
        </w:tabs>
        <w:spacing w:before="0" w:after="0" w:line="240" w:lineRule="auto"/>
        <w:ind w:left="0" w:right="-1" w:firstLine="709"/>
        <w:rPr>
          <w:rFonts w:cs="Times New Roman"/>
          <w:b w:val="0"/>
          <w:sz w:val="28"/>
          <w:szCs w:val="28"/>
        </w:rPr>
      </w:pPr>
      <w:r w:rsidRPr="00BE108E">
        <w:rPr>
          <w:rFonts w:cs="Times New Roman"/>
          <w:b w:val="0"/>
          <w:sz w:val="28"/>
          <w:szCs w:val="28"/>
        </w:rPr>
        <w:t>имеют высокую степень достижения (от 95 до 150%) – 525 (77,2% от общего числа показателей);</w:t>
      </w:r>
    </w:p>
    <w:p w:rsidR="00CD51CC" w:rsidRPr="00BE108E" w:rsidRDefault="00CD51CC" w:rsidP="00CD51CC">
      <w:pPr>
        <w:pStyle w:val="330"/>
        <w:numPr>
          <w:ilvl w:val="0"/>
          <w:numId w:val="1"/>
        </w:numPr>
        <w:shd w:val="clear" w:color="auto" w:fill="auto"/>
        <w:tabs>
          <w:tab w:val="left" w:pos="1276"/>
        </w:tabs>
        <w:spacing w:before="0" w:after="0" w:line="240" w:lineRule="auto"/>
        <w:ind w:left="0" w:right="-1" w:firstLine="709"/>
        <w:rPr>
          <w:rFonts w:cs="Times New Roman"/>
          <w:b w:val="0"/>
          <w:sz w:val="28"/>
          <w:szCs w:val="28"/>
        </w:rPr>
      </w:pPr>
      <w:r w:rsidRPr="00BE108E">
        <w:rPr>
          <w:rFonts w:cs="Times New Roman"/>
          <w:b w:val="0"/>
          <w:sz w:val="28"/>
          <w:szCs w:val="28"/>
        </w:rPr>
        <w:t>значительно перевыполнены (более 150%) – 40 (5,9%);</w:t>
      </w:r>
    </w:p>
    <w:p w:rsidR="00CD51CC" w:rsidRPr="00BE108E" w:rsidRDefault="00CD51CC" w:rsidP="00CD51CC">
      <w:pPr>
        <w:pStyle w:val="330"/>
        <w:numPr>
          <w:ilvl w:val="0"/>
          <w:numId w:val="1"/>
        </w:numPr>
        <w:shd w:val="clear" w:color="auto" w:fill="auto"/>
        <w:tabs>
          <w:tab w:val="left" w:pos="1276"/>
        </w:tabs>
        <w:spacing w:before="0" w:after="0" w:line="240" w:lineRule="auto"/>
        <w:ind w:left="0" w:right="-1" w:firstLine="709"/>
        <w:rPr>
          <w:rFonts w:cs="Times New Roman"/>
          <w:b w:val="0"/>
          <w:sz w:val="28"/>
          <w:szCs w:val="28"/>
        </w:rPr>
      </w:pPr>
      <w:r w:rsidRPr="00BE108E">
        <w:rPr>
          <w:rFonts w:cs="Times New Roman"/>
          <w:b w:val="0"/>
          <w:sz w:val="28"/>
          <w:szCs w:val="28"/>
        </w:rPr>
        <w:t>имеют среднюю степень достижения (от 75 до 95%) – 72 (10,6%);</w:t>
      </w:r>
    </w:p>
    <w:p w:rsidR="00CD51CC" w:rsidRPr="00BE108E" w:rsidRDefault="00CD51CC" w:rsidP="00CD51CC">
      <w:pPr>
        <w:pStyle w:val="330"/>
        <w:numPr>
          <w:ilvl w:val="0"/>
          <w:numId w:val="1"/>
        </w:numPr>
        <w:shd w:val="clear" w:color="auto" w:fill="auto"/>
        <w:tabs>
          <w:tab w:val="left" w:pos="1276"/>
        </w:tabs>
        <w:spacing w:before="0" w:after="0" w:line="240" w:lineRule="auto"/>
        <w:ind w:left="0" w:right="-1" w:firstLine="709"/>
        <w:rPr>
          <w:rFonts w:cs="Times New Roman"/>
          <w:b w:val="0"/>
          <w:sz w:val="28"/>
          <w:szCs w:val="28"/>
        </w:rPr>
      </w:pPr>
      <w:r w:rsidRPr="00BE108E">
        <w:rPr>
          <w:rFonts w:cs="Times New Roman"/>
          <w:b w:val="0"/>
          <w:sz w:val="28"/>
          <w:szCs w:val="28"/>
        </w:rPr>
        <w:t>имеют низкую степень достижения (ниже 75%) – 40 (5,9%).</w:t>
      </w:r>
    </w:p>
    <w:p w:rsidR="00CD51CC" w:rsidRPr="00BE108E" w:rsidRDefault="00CD51CC" w:rsidP="00CD51CC">
      <w:pPr>
        <w:pStyle w:val="330"/>
        <w:shd w:val="clear" w:color="auto" w:fill="auto"/>
        <w:tabs>
          <w:tab w:val="left" w:pos="1276"/>
        </w:tabs>
        <w:spacing w:before="0" w:after="0" w:line="240" w:lineRule="auto"/>
        <w:ind w:right="-1"/>
        <w:rPr>
          <w:rFonts w:cs="Times New Roman"/>
          <w:b w:val="0"/>
          <w:sz w:val="28"/>
          <w:szCs w:val="28"/>
        </w:rPr>
      </w:pPr>
      <w:r w:rsidRPr="00BE108E">
        <w:rPr>
          <w:rFonts w:cs="Times New Roman"/>
          <w:b w:val="0"/>
          <w:sz w:val="28"/>
          <w:szCs w:val="28"/>
        </w:rPr>
        <w:t xml:space="preserve">По причине отсутствия статистической информации на момент подготовки </w:t>
      </w:r>
      <w:r w:rsidR="00F0651A">
        <w:rPr>
          <w:rFonts w:cs="Times New Roman"/>
          <w:b w:val="0"/>
          <w:sz w:val="28"/>
          <w:szCs w:val="28"/>
        </w:rPr>
        <w:t>отчета</w:t>
      </w:r>
      <w:r w:rsidRPr="00BE108E">
        <w:rPr>
          <w:rFonts w:cs="Times New Roman"/>
          <w:b w:val="0"/>
          <w:sz w:val="28"/>
          <w:szCs w:val="28"/>
        </w:rPr>
        <w:t xml:space="preserve"> по ряду показателей фактические значения отсутствуют, либо указаны оценочные данные. </w:t>
      </w:r>
    </w:p>
    <w:p w:rsidR="00F0651A" w:rsidRPr="00BE108E" w:rsidRDefault="00F0651A" w:rsidP="00F0651A">
      <w:pPr>
        <w:pStyle w:val="330"/>
        <w:shd w:val="clear" w:color="auto" w:fill="auto"/>
        <w:spacing w:before="0" w:after="0" w:line="240" w:lineRule="auto"/>
        <w:ind w:right="-1"/>
        <w:rPr>
          <w:rFonts w:cs="Times New Roman"/>
          <w:b w:val="0"/>
          <w:sz w:val="28"/>
          <w:szCs w:val="28"/>
        </w:rPr>
      </w:pPr>
    </w:p>
    <w:p w:rsidR="00F0651A" w:rsidRPr="00BE108E" w:rsidRDefault="00F0651A" w:rsidP="00F0651A">
      <w:pPr>
        <w:pStyle w:val="330"/>
        <w:shd w:val="clear" w:color="auto" w:fill="auto"/>
        <w:spacing w:before="0" w:after="0" w:line="240" w:lineRule="auto"/>
        <w:ind w:right="-1" w:firstLine="0"/>
        <w:rPr>
          <w:rFonts w:cs="Times New Roman"/>
          <w:b w:val="0"/>
          <w:sz w:val="28"/>
          <w:szCs w:val="28"/>
        </w:rPr>
      </w:pPr>
      <w:r w:rsidRPr="00BE108E">
        <w:rPr>
          <w:rFonts w:cs="Times New Roman"/>
          <w:noProof/>
          <w:lang w:eastAsia="ru-RU"/>
        </w:rPr>
        <w:lastRenderedPageBreak/>
        <w:drawing>
          <wp:inline distT="0" distB="0" distL="0" distR="0">
            <wp:extent cx="6166884" cy="2987749"/>
            <wp:effectExtent l="0" t="0" r="24765" b="222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651A" w:rsidRPr="00F0651A" w:rsidRDefault="00F0651A" w:rsidP="00F0651A">
      <w:pPr>
        <w:jc w:val="center"/>
        <w:rPr>
          <w:rFonts w:cs="Times New Roman"/>
          <w:sz w:val="24"/>
          <w:szCs w:val="28"/>
        </w:rPr>
      </w:pPr>
      <w:r w:rsidRPr="00F0651A">
        <w:rPr>
          <w:rFonts w:cs="Times New Roman"/>
          <w:sz w:val="24"/>
          <w:szCs w:val="28"/>
        </w:rPr>
        <w:t xml:space="preserve">Рисунок </w:t>
      </w:r>
      <w:r>
        <w:rPr>
          <w:rFonts w:cs="Times New Roman"/>
          <w:sz w:val="24"/>
          <w:szCs w:val="28"/>
        </w:rPr>
        <w:t>3</w:t>
      </w:r>
    </w:p>
    <w:p w:rsidR="00F0651A" w:rsidRDefault="009C670B" w:rsidP="00F0651A">
      <w:r w:rsidRPr="00BE108E">
        <w:t xml:space="preserve">Следует отметить, что значения </w:t>
      </w:r>
      <w:r w:rsidR="00F0651A" w:rsidRPr="00BE108E">
        <w:t>402</w:t>
      </w:r>
      <w:r w:rsidRPr="00BE108E">
        <w:t xml:space="preserve"> показателей (</w:t>
      </w:r>
      <w:r w:rsidR="00F0651A" w:rsidRPr="00BE108E">
        <w:t>59,4%</w:t>
      </w:r>
      <w:r w:rsidRPr="00BE108E">
        <w:t xml:space="preserve">) находятся в интервале от </w:t>
      </w:r>
      <w:r w:rsidR="003B3A38" w:rsidRPr="00BE108E">
        <w:t>10</w:t>
      </w:r>
      <w:r w:rsidRPr="00BE108E">
        <w:t xml:space="preserve">0 до 110% от запланированного уровня, что </w:t>
      </w:r>
      <w:r w:rsidR="00B454AE" w:rsidRPr="00BE108E">
        <w:t>в целом свидетельствует об удовлетворительном качестве планирования и высокой результативности мероприятий программ. В то же время по отдельным государственным программам</w:t>
      </w:r>
      <w:r w:rsidR="006244A7" w:rsidRPr="00BE108E">
        <w:t xml:space="preserve"> </w:t>
      </w:r>
      <w:r w:rsidR="00B454AE" w:rsidRPr="00BE108E">
        <w:t>отмечается существенное расхождение между плановыми и фактическими значениями показателей, обусловленное некорректным установлением плановых значений</w:t>
      </w:r>
      <w:r w:rsidR="00F0651A">
        <w:t xml:space="preserve"> (Рисунок 4)</w:t>
      </w:r>
      <w:r w:rsidR="00B454AE" w:rsidRPr="00BE108E">
        <w:t>.</w:t>
      </w:r>
      <w:r w:rsidR="00F0651A" w:rsidRPr="00F0651A">
        <w:t xml:space="preserve"> </w:t>
      </w:r>
    </w:p>
    <w:p w:rsidR="00F0651A" w:rsidRPr="00BE108E" w:rsidRDefault="00F0651A" w:rsidP="00F0651A">
      <w:r w:rsidRPr="00F0651A">
        <w:t>Информация о достижении значений показателей государственных программ Мурманской области за 2014 год</w:t>
      </w:r>
      <w:r w:rsidRPr="00BE108E">
        <w:t xml:space="preserve"> приведен</w:t>
      </w:r>
      <w:r w:rsidR="00597D62">
        <w:t>а</w:t>
      </w:r>
      <w:r w:rsidRPr="00BE108E">
        <w:t xml:space="preserve"> в приложении № 2.</w:t>
      </w:r>
    </w:p>
    <w:p w:rsidR="009C670B" w:rsidRPr="00BE108E" w:rsidRDefault="009C670B" w:rsidP="00CD51CC"/>
    <w:p w:rsidR="009C670B" w:rsidRPr="00BE108E" w:rsidRDefault="006244A7" w:rsidP="006E047B">
      <w:pPr>
        <w:pStyle w:val="330"/>
        <w:shd w:val="clear" w:color="auto" w:fill="auto"/>
        <w:spacing w:before="0" w:after="0" w:line="240" w:lineRule="auto"/>
        <w:ind w:right="-1" w:firstLine="0"/>
        <w:rPr>
          <w:rFonts w:cs="Times New Roman"/>
          <w:b w:val="0"/>
          <w:sz w:val="28"/>
          <w:szCs w:val="28"/>
        </w:rPr>
      </w:pPr>
      <w:r w:rsidRPr="00BE108E">
        <w:rPr>
          <w:rFonts w:cs="Times New Roman"/>
          <w:noProof/>
          <w:lang w:eastAsia="ru-RU"/>
        </w:rPr>
        <w:lastRenderedPageBreak/>
        <w:drawing>
          <wp:inline distT="0" distB="0" distL="0" distR="0">
            <wp:extent cx="6124354" cy="4774019"/>
            <wp:effectExtent l="0" t="0" r="10160" b="2667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0651A" w:rsidRPr="00F0651A" w:rsidRDefault="00F0651A" w:rsidP="00F0651A">
      <w:pPr>
        <w:jc w:val="center"/>
        <w:rPr>
          <w:rFonts w:cs="Times New Roman"/>
          <w:sz w:val="24"/>
          <w:szCs w:val="28"/>
        </w:rPr>
      </w:pPr>
      <w:r w:rsidRPr="00F0651A">
        <w:rPr>
          <w:rFonts w:cs="Times New Roman"/>
          <w:sz w:val="24"/>
          <w:szCs w:val="28"/>
        </w:rPr>
        <w:t xml:space="preserve">Рисунок </w:t>
      </w:r>
      <w:r>
        <w:rPr>
          <w:rFonts w:cs="Times New Roman"/>
          <w:sz w:val="24"/>
          <w:szCs w:val="28"/>
        </w:rPr>
        <w:t>4</w:t>
      </w:r>
    </w:p>
    <w:p w:rsidR="006244A7" w:rsidRPr="00BE108E" w:rsidRDefault="006244A7" w:rsidP="009C7FE5">
      <w:r w:rsidRPr="00BE108E">
        <w:t>Оценка эффективности государственных программ проводилась ответственными исполнителями на основе различных методик, разработанных и утвержденных в соответствующих программах. При этом при оценке учитывались критерии: степень достижения целей и решения задач; степень соответствия запланированному уровню затрат и</w:t>
      </w:r>
      <w:r w:rsidR="009C7FE5" w:rsidRPr="009C7FE5">
        <w:t xml:space="preserve"> </w:t>
      </w:r>
      <w:r w:rsidR="009C7FE5" w:rsidRPr="00BE108E">
        <w:t>эффективност</w:t>
      </w:r>
      <w:r w:rsidR="009C7FE5">
        <w:t>ь</w:t>
      </w:r>
      <w:r w:rsidR="009C7FE5" w:rsidRPr="00BE108E">
        <w:t xml:space="preserve"> использования финансовых ресурсов</w:t>
      </w:r>
      <w:r w:rsidRPr="00BE108E">
        <w:t xml:space="preserve">; результаты реализации основных мероприятий. </w:t>
      </w:r>
    </w:p>
    <w:p w:rsidR="00A20E1A" w:rsidRDefault="007C6D2A" w:rsidP="00A20E1A">
      <w:pPr>
        <w:autoSpaceDE w:val="0"/>
        <w:autoSpaceDN w:val="0"/>
        <w:adjustRightInd w:val="0"/>
        <w:ind w:firstLine="540"/>
      </w:pPr>
      <w:r w:rsidRPr="00BE108E">
        <w:t>Использование т</w:t>
      </w:r>
      <w:r w:rsidR="006244A7" w:rsidRPr="00BE108E">
        <w:t>ако</w:t>
      </w:r>
      <w:r w:rsidRPr="00BE108E">
        <w:t>го</w:t>
      </w:r>
      <w:r w:rsidR="006244A7" w:rsidRPr="00BE108E">
        <w:t xml:space="preserve"> под</w:t>
      </w:r>
      <w:r w:rsidRPr="00BE108E">
        <w:t xml:space="preserve">хода было обусловлено различным масштабом, составом и специфическими особенностями государственных программ в различных сферах и позволило бы при должной проработке методики оценки эффективности учитывать данные факторы и выявлять слабые стороны в ходе реализации программ. </w:t>
      </w:r>
      <w:r w:rsidR="006244A7" w:rsidRPr="00BE108E">
        <w:t>Одн</w:t>
      </w:r>
      <w:r w:rsidRPr="00BE108E">
        <w:t xml:space="preserve">ако </w:t>
      </w:r>
      <w:r w:rsidR="006D088C" w:rsidRPr="00BE108E">
        <w:t xml:space="preserve">анализ представленных отчетов выявил, что </w:t>
      </w:r>
      <w:r w:rsidRPr="00BE108E">
        <w:t>не все разработанные методики позволяют адекватно и однозначно оценить результаты</w:t>
      </w:r>
      <w:r w:rsidR="009C7FE5" w:rsidRPr="00BE108E">
        <w:t xml:space="preserve"> реализации государствен</w:t>
      </w:r>
      <w:bookmarkStart w:id="0" w:name="_GoBack"/>
      <w:bookmarkEnd w:id="0"/>
      <w:r w:rsidR="009C7FE5" w:rsidRPr="00BE108E">
        <w:t>ных программ</w:t>
      </w:r>
      <w:r w:rsidR="009C7FE5">
        <w:t xml:space="preserve"> и обеспечить их </w:t>
      </w:r>
      <w:r w:rsidR="009C7FE5" w:rsidRPr="00BE108E">
        <w:t>объективно</w:t>
      </w:r>
      <w:r w:rsidR="009C7FE5">
        <w:t>е сравнение</w:t>
      </w:r>
      <w:r w:rsidRPr="00BE108E">
        <w:t xml:space="preserve">, в </w:t>
      </w:r>
      <w:proofErr w:type="gramStart"/>
      <w:r w:rsidRPr="00BE108E">
        <w:t>связи</w:t>
      </w:r>
      <w:proofErr w:type="gramEnd"/>
      <w:r w:rsidRPr="00BE108E">
        <w:t xml:space="preserve"> с чем целесообразно отказаться от дальнейшего использования данной п</w:t>
      </w:r>
      <w:r w:rsidR="0004405C" w:rsidRPr="00BE108E">
        <w:t xml:space="preserve">рактики в пользу унифицированного подхода к оценке </w:t>
      </w:r>
      <w:r w:rsidR="00597D62">
        <w:t xml:space="preserve">эффективности реализации </w:t>
      </w:r>
      <w:r w:rsidR="0004405C" w:rsidRPr="00BE108E">
        <w:t>программ.</w:t>
      </w:r>
      <w:r w:rsidRPr="00BE108E">
        <w:t xml:space="preserve"> </w:t>
      </w:r>
    </w:p>
    <w:p w:rsidR="00A20E1A" w:rsidRDefault="00A20E1A" w:rsidP="00A20E1A">
      <w:pPr>
        <w:autoSpaceDE w:val="0"/>
        <w:autoSpaceDN w:val="0"/>
        <w:adjustRightInd w:val="0"/>
        <w:ind w:firstLine="540"/>
        <w:rPr>
          <w:rFonts w:cs="Times New Roman"/>
          <w:szCs w:val="28"/>
        </w:rPr>
      </w:pPr>
      <w:r>
        <w:rPr>
          <w:rFonts w:cs="Times New Roman"/>
          <w:szCs w:val="28"/>
        </w:rPr>
        <w:t>Большинство государственных программ Мурманской области в 2014 году реализовались эффективно или по</w:t>
      </w:r>
      <w:r w:rsidR="00597D62">
        <w:rPr>
          <w:rFonts w:cs="Times New Roman"/>
          <w:szCs w:val="28"/>
        </w:rPr>
        <w:t>лучили</w:t>
      </w:r>
      <w:r>
        <w:rPr>
          <w:rFonts w:cs="Times New Roman"/>
          <w:szCs w:val="28"/>
        </w:rPr>
        <w:t xml:space="preserve"> высокую оценку эффективности (1</w:t>
      </w:r>
      <w:r w:rsidR="00B32B02">
        <w:rPr>
          <w:rFonts w:cs="Times New Roman"/>
          <w:szCs w:val="28"/>
        </w:rPr>
        <w:t>2</w:t>
      </w:r>
      <w:r>
        <w:rPr>
          <w:rFonts w:cs="Times New Roman"/>
          <w:szCs w:val="28"/>
        </w:rPr>
        <w:t xml:space="preserve"> из 17 программ).</w:t>
      </w:r>
    </w:p>
    <w:p w:rsidR="006244A7" w:rsidRDefault="006244A7" w:rsidP="009C7FE5"/>
    <w:p w:rsidR="00597D62" w:rsidRDefault="00597D62" w:rsidP="00597D62">
      <w:pPr>
        <w:jc w:val="right"/>
        <w:rPr>
          <w:sz w:val="24"/>
        </w:rPr>
      </w:pPr>
    </w:p>
    <w:p w:rsidR="00597D62" w:rsidRPr="00597D62" w:rsidRDefault="00597D62" w:rsidP="00597D62">
      <w:pPr>
        <w:jc w:val="right"/>
        <w:rPr>
          <w:sz w:val="24"/>
        </w:rPr>
      </w:pPr>
      <w:r w:rsidRPr="00597D62">
        <w:rPr>
          <w:sz w:val="24"/>
        </w:rPr>
        <w:lastRenderedPageBreak/>
        <w:t>Таблица 2</w:t>
      </w:r>
    </w:p>
    <w:tbl>
      <w:tblPr>
        <w:tblW w:w="9733" w:type="dxa"/>
        <w:tblInd w:w="93" w:type="dxa"/>
        <w:tblLook w:val="04A0"/>
      </w:tblPr>
      <w:tblGrid>
        <w:gridCol w:w="503"/>
        <w:gridCol w:w="4956"/>
        <w:gridCol w:w="1080"/>
        <w:gridCol w:w="1249"/>
        <w:gridCol w:w="1945"/>
      </w:tblGrid>
      <w:tr w:rsidR="008033DB" w:rsidRPr="00BE108E" w:rsidTr="006C28BD">
        <w:trPr>
          <w:trHeight w:val="675"/>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3DB" w:rsidRPr="00BE108E" w:rsidRDefault="008033DB" w:rsidP="00CB5039">
            <w:pPr>
              <w:ind w:firstLine="0"/>
              <w:rPr>
                <w:rFonts w:eastAsia="Times New Roman" w:cs="Times New Roman"/>
                <w:sz w:val="20"/>
                <w:szCs w:val="16"/>
              </w:rPr>
            </w:pPr>
            <w:r w:rsidRPr="00BE108E">
              <w:rPr>
                <w:rFonts w:eastAsia="Times New Roman" w:cs="Times New Roman"/>
                <w:sz w:val="20"/>
                <w:szCs w:val="16"/>
              </w:rPr>
              <w:t xml:space="preserve">№ </w:t>
            </w:r>
            <w:proofErr w:type="gramStart"/>
            <w:r w:rsidRPr="00BE108E">
              <w:rPr>
                <w:rFonts w:eastAsia="Times New Roman" w:cs="Times New Roman"/>
                <w:sz w:val="20"/>
                <w:szCs w:val="16"/>
              </w:rPr>
              <w:t>п</w:t>
            </w:r>
            <w:proofErr w:type="gramEnd"/>
            <w:r w:rsidRPr="00BE108E">
              <w:rPr>
                <w:rFonts w:eastAsia="Times New Roman" w:cs="Times New Roman"/>
                <w:sz w:val="20"/>
                <w:szCs w:val="16"/>
              </w:rPr>
              <w:t>/п</w:t>
            </w:r>
          </w:p>
        </w:tc>
        <w:tc>
          <w:tcPr>
            <w:tcW w:w="4956" w:type="dxa"/>
            <w:tcBorders>
              <w:top w:val="single" w:sz="4" w:space="0" w:color="auto"/>
              <w:left w:val="nil"/>
              <w:bottom w:val="single" w:sz="4" w:space="0" w:color="auto"/>
              <w:right w:val="single" w:sz="4" w:space="0" w:color="auto"/>
            </w:tcBorders>
            <w:shd w:val="clear" w:color="auto" w:fill="auto"/>
            <w:vAlign w:val="center"/>
            <w:hideMark/>
          </w:tcPr>
          <w:p w:rsidR="008033DB" w:rsidRPr="00BE108E" w:rsidRDefault="008033DB" w:rsidP="00CB5039">
            <w:pPr>
              <w:ind w:firstLine="0"/>
              <w:rPr>
                <w:rFonts w:eastAsia="Times New Roman" w:cs="Times New Roman"/>
                <w:sz w:val="20"/>
                <w:szCs w:val="16"/>
              </w:rPr>
            </w:pPr>
            <w:r w:rsidRPr="00BE108E">
              <w:rPr>
                <w:rFonts w:eastAsia="Times New Roman" w:cs="Times New Roman"/>
                <w:sz w:val="20"/>
                <w:szCs w:val="16"/>
              </w:rPr>
              <w:t>Наименование государственной программы</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033DB" w:rsidRPr="00BE108E" w:rsidRDefault="008033DB" w:rsidP="00CB5039">
            <w:pPr>
              <w:ind w:firstLine="0"/>
              <w:rPr>
                <w:rFonts w:eastAsia="Times New Roman" w:cs="Times New Roman"/>
                <w:sz w:val="20"/>
                <w:szCs w:val="16"/>
              </w:rPr>
            </w:pPr>
            <w:r w:rsidRPr="00BE108E">
              <w:rPr>
                <w:rFonts w:eastAsia="Times New Roman" w:cs="Times New Roman"/>
                <w:sz w:val="20"/>
                <w:szCs w:val="16"/>
              </w:rPr>
              <w:t>Степень освоения средств</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8033DB" w:rsidRPr="00BE108E" w:rsidRDefault="008033DB" w:rsidP="00CB5039">
            <w:pPr>
              <w:ind w:firstLine="0"/>
              <w:rPr>
                <w:rFonts w:eastAsia="Times New Roman" w:cs="Times New Roman"/>
                <w:sz w:val="20"/>
                <w:szCs w:val="16"/>
              </w:rPr>
            </w:pPr>
            <w:r w:rsidRPr="00BE108E">
              <w:rPr>
                <w:rFonts w:eastAsia="Times New Roman" w:cs="Times New Roman"/>
                <w:sz w:val="20"/>
                <w:szCs w:val="16"/>
              </w:rPr>
              <w:t>Степень достижения показателей</w:t>
            </w:r>
          </w:p>
        </w:tc>
        <w:tc>
          <w:tcPr>
            <w:tcW w:w="1945" w:type="dxa"/>
            <w:tcBorders>
              <w:top w:val="single" w:sz="4" w:space="0" w:color="auto"/>
              <w:left w:val="nil"/>
              <w:bottom w:val="single" w:sz="4" w:space="0" w:color="auto"/>
              <w:right w:val="single" w:sz="4" w:space="0" w:color="auto"/>
            </w:tcBorders>
            <w:shd w:val="clear" w:color="auto" w:fill="auto"/>
            <w:vAlign w:val="center"/>
            <w:hideMark/>
          </w:tcPr>
          <w:p w:rsidR="008033DB" w:rsidRPr="00BE108E" w:rsidRDefault="008033DB" w:rsidP="00CB5039">
            <w:pPr>
              <w:ind w:firstLine="0"/>
              <w:rPr>
                <w:rFonts w:eastAsia="Times New Roman" w:cs="Times New Roman"/>
                <w:sz w:val="20"/>
                <w:szCs w:val="16"/>
              </w:rPr>
            </w:pPr>
            <w:r w:rsidRPr="00BE108E">
              <w:rPr>
                <w:rFonts w:eastAsia="Times New Roman" w:cs="Times New Roman"/>
                <w:sz w:val="20"/>
                <w:szCs w:val="16"/>
              </w:rPr>
              <w:t>Оценка эффективности</w:t>
            </w:r>
            <w:r w:rsidR="00CB5039" w:rsidRPr="00BE108E">
              <w:rPr>
                <w:rStyle w:val="a9"/>
                <w:rFonts w:eastAsia="Times New Roman" w:cs="Times New Roman"/>
                <w:sz w:val="24"/>
                <w:szCs w:val="16"/>
              </w:rPr>
              <w:footnoteReference w:id="1"/>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здравоохранения</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97,5%</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101,5%</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2</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образования</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98,3%</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115,2%</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7D7B7B"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3</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Социальная поддержка граждан и развитие социально-трудовых отношений</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95,9%</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122,4%</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эффективная</w:t>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4</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физической культуры и спорта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99,7%</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106,7%</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эффективная</w:t>
            </w:r>
          </w:p>
        </w:tc>
      </w:tr>
      <w:tr w:rsidR="007D7B7B"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5</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культуры и сохранение культурного наследия региона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89,5%</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111,8%</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B32B02" w:rsidRPr="00BE108E" w:rsidTr="00D25B2F">
        <w:trPr>
          <w:trHeight w:val="27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B32B02" w:rsidRPr="00BE108E" w:rsidRDefault="00B32B02" w:rsidP="00CB5039">
            <w:pPr>
              <w:ind w:firstLine="0"/>
              <w:rPr>
                <w:rFonts w:eastAsia="Times New Roman" w:cs="Times New Roman"/>
                <w:sz w:val="20"/>
                <w:szCs w:val="16"/>
              </w:rPr>
            </w:pPr>
            <w:r w:rsidRPr="00BE108E">
              <w:rPr>
                <w:rFonts w:eastAsia="Times New Roman" w:cs="Times New Roman"/>
                <w:sz w:val="20"/>
                <w:szCs w:val="16"/>
              </w:rPr>
              <w:t>6</w:t>
            </w:r>
          </w:p>
        </w:tc>
        <w:tc>
          <w:tcPr>
            <w:tcW w:w="4956" w:type="dxa"/>
            <w:tcBorders>
              <w:top w:val="nil"/>
              <w:left w:val="nil"/>
              <w:bottom w:val="single" w:sz="4" w:space="0" w:color="auto"/>
              <w:right w:val="single" w:sz="4" w:space="0" w:color="auto"/>
            </w:tcBorders>
            <w:shd w:val="clear" w:color="auto" w:fill="auto"/>
            <w:vAlign w:val="center"/>
            <w:hideMark/>
          </w:tcPr>
          <w:p w:rsidR="00B32B02" w:rsidRPr="00BE108E" w:rsidRDefault="00B32B02" w:rsidP="00CB5039">
            <w:pPr>
              <w:ind w:firstLine="0"/>
              <w:jc w:val="left"/>
              <w:rPr>
                <w:rFonts w:eastAsia="Times New Roman" w:cs="Times New Roman"/>
                <w:sz w:val="20"/>
                <w:szCs w:val="16"/>
              </w:rPr>
            </w:pPr>
            <w:r w:rsidRPr="00BE108E">
              <w:rPr>
                <w:rFonts w:eastAsia="Times New Roman" w:cs="Times New Roman"/>
                <w:sz w:val="20"/>
                <w:szCs w:val="16"/>
              </w:rPr>
              <w:t>Управление развитием регионального рынка труда</w:t>
            </w:r>
          </w:p>
        </w:tc>
        <w:tc>
          <w:tcPr>
            <w:tcW w:w="1080" w:type="dxa"/>
            <w:tcBorders>
              <w:top w:val="nil"/>
              <w:left w:val="nil"/>
              <w:bottom w:val="single" w:sz="4" w:space="0" w:color="auto"/>
              <w:right w:val="single" w:sz="4" w:space="0" w:color="auto"/>
            </w:tcBorders>
            <w:shd w:val="clear" w:color="auto" w:fill="auto"/>
            <w:noWrap/>
            <w:vAlign w:val="center"/>
            <w:hideMark/>
          </w:tcPr>
          <w:p w:rsidR="00B32B02" w:rsidRPr="00D25B2F" w:rsidRDefault="00B32B02" w:rsidP="007D7B7B">
            <w:pPr>
              <w:ind w:firstLine="0"/>
              <w:jc w:val="center"/>
              <w:rPr>
                <w:sz w:val="22"/>
              </w:rPr>
            </w:pPr>
            <w:r w:rsidRPr="00D25B2F">
              <w:rPr>
                <w:sz w:val="22"/>
              </w:rPr>
              <w:t>85,4%</w:t>
            </w:r>
          </w:p>
        </w:tc>
        <w:tc>
          <w:tcPr>
            <w:tcW w:w="1249" w:type="dxa"/>
            <w:tcBorders>
              <w:top w:val="nil"/>
              <w:left w:val="nil"/>
              <w:bottom w:val="single" w:sz="4" w:space="0" w:color="auto"/>
              <w:right w:val="single" w:sz="4" w:space="0" w:color="auto"/>
            </w:tcBorders>
            <w:shd w:val="clear" w:color="auto" w:fill="auto"/>
            <w:noWrap/>
            <w:vAlign w:val="center"/>
            <w:hideMark/>
          </w:tcPr>
          <w:p w:rsidR="00B32B02" w:rsidRPr="00D25B2F" w:rsidRDefault="00B32B02" w:rsidP="007D7B7B">
            <w:pPr>
              <w:ind w:firstLine="0"/>
              <w:jc w:val="center"/>
              <w:rPr>
                <w:sz w:val="22"/>
              </w:rPr>
            </w:pPr>
            <w:r w:rsidRPr="00D25B2F">
              <w:rPr>
                <w:sz w:val="22"/>
              </w:rPr>
              <w:t>121,7%</w:t>
            </w:r>
          </w:p>
        </w:tc>
        <w:tc>
          <w:tcPr>
            <w:tcW w:w="1945" w:type="dxa"/>
            <w:tcBorders>
              <w:top w:val="nil"/>
              <w:left w:val="nil"/>
              <w:bottom w:val="single" w:sz="4" w:space="0" w:color="auto"/>
              <w:right w:val="single" w:sz="4" w:space="0" w:color="auto"/>
            </w:tcBorders>
            <w:shd w:val="clear" w:color="auto" w:fill="auto"/>
            <w:vAlign w:val="center"/>
            <w:hideMark/>
          </w:tcPr>
          <w:p w:rsidR="00B32B02" w:rsidRPr="00BE108E" w:rsidRDefault="00B32B02" w:rsidP="00347B64">
            <w:pPr>
              <w:ind w:firstLine="0"/>
              <w:rPr>
                <w:rFonts w:eastAsia="Times New Roman" w:cs="Times New Roman"/>
                <w:sz w:val="20"/>
                <w:szCs w:val="16"/>
              </w:rPr>
            </w:pPr>
            <w:r w:rsidRPr="00BE108E">
              <w:rPr>
                <w:rFonts w:eastAsia="Times New Roman" w:cs="Times New Roman"/>
                <w:sz w:val="20"/>
                <w:szCs w:val="16"/>
              </w:rPr>
              <w:t>эффективная</w:t>
            </w:r>
          </w:p>
        </w:tc>
      </w:tr>
      <w:tr w:rsidR="007D7B7B"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7</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Обеспечение комфортной среды проживания населения региона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88,9%</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97,8%</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8</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Энергоэффективность и развитие энергетики</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104,2%</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96,5%</w:t>
            </w:r>
          </w:p>
        </w:tc>
        <w:tc>
          <w:tcPr>
            <w:tcW w:w="1945" w:type="dxa"/>
            <w:tcBorders>
              <w:top w:val="nil"/>
              <w:left w:val="nil"/>
              <w:bottom w:val="single" w:sz="4" w:space="0" w:color="auto"/>
              <w:right w:val="single" w:sz="4" w:space="0" w:color="auto"/>
            </w:tcBorders>
            <w:shd w:val="clear" w:color="auto" w:fill="auto"/>
            <w:vAlign w:val="center"/>
            <w:hideMark/>
          </w:tcPr>
          <w:p w:rsidR="007D7B7B" w:rsidRPr="00D25B2F" w:rsidRDefault="007D7B7B" w:rsidP="00CB5039">
            <w:pPr>
              <w:ind w:firstLine="0"/>
              <w:jc w:val="left"/>
              <w:rPr>
                <w:rFonts w:eastAsia="Times New Roman" w:cs="Times New Roman"/>
                <w:sz w:val="20"/>
                <w:szCs w:val="16"/>
              </w:rPr>
            </w:pPr>
            <w:r w:rsidRPr="00D25B2F">
              <w:rPr>
                <w:rFonts w:eastAsia="Times New Roman" w:cs="Times New Roman"/>
                <w:sz w:val="20"/>
                <w:szCs w:val="16"/>
              </w:rPr>
              <w:t>высокая</w:t>
            </w:r>
          </w:p>
        </w:tc>
      </w:tr>
      <w:tr w:rsidR="007D7B7B"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9</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Обеспечение общественного порядка и безопасности населения региона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98,4%</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174,4%</w:t>
            </w:r>
          </w:p>
        </w:tc>
        <w:tc>
          <w:tcPr>
            <w:tcW w:w="1945" w:type="dxa"/>
            <w:tcBorders>
              <w:top w:val="nil"/>
              <w:left w:val="nil"/>
              <w:bottom w:val="single" w:sz="4" w:space="0" w:color="auto"/>
              <w:right w:val="single" w:sz="4" w:space="0" w:color="auto"/>
            </w:tcBorders>
            <w:shd w:val="clear" w:color="auto" w:fill="auto"/>
            <w:vAlign w:val="center"/>
            <w:hideMark/>
          </w:tcPr>
          <w:p w:rsidR="007D7B7B" w:rsidRPr="00D25B2F" w:rsidRDefault="00D25B2F" w:rsidP="00CB5039">
            <w:pPr>
              <w:ind w:firstLine="0"/>
              <w:rPr>
                <w:rFonts w:eastAsia="Times New Roman" w:cs="Times New Roman"/>
                <w:sz w:val="20"/>
                <w:szCs w:val="16"/>
              </w:rPr>
            </w:pPr>
            <w:r w:rsidRPr="00D25B2F">
              <w:rPr>
                <w:rFonts w:eastAsia="Times New Roman" w:cs="Times New Roman"/>
                <w:sz w:val="20"/>
                <w:szCs w:val="16"/>
              </w:rPr>
              <w:t>средняя</w:t>
            </w:r>
          </w:p>
        </w:tc>
      </w:tr>
      <w:tr w:rsidR="007D7B7B"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10</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Охрана окружающей среды и воспроизводство природных ресурсов</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96,4%</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119,7%</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6E047B">
            <w:pPr>
              <w:ind w:firstLine="0"/>
              <w:rPr>
                <w:rFonts w:eastAsia="Times New Roman" w:cs="Times New Roman"/>
                <w:sz w:val="20"/>
                <w:szCs w:val="16"/>
              </w:rPr>
            </w:pPr>
            <w:r w:rsidRPr="00BE108E">
              <w:rPr>
                <w:rFonts w:eastAsia="Times New Roman" w:cs="Times New Roman"/>
                <w:sz w:val="20"/>
                <w:szCs w:val="16"/>
              </w:rPr>
              <w:t>удовлетворительная</w:t>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11</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рыбохозяйственного комплекса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97,5%</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112,8%</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highlight w:val="yellow"/>
              </w:rPr>
            </w:pPr>
            <w:r w:rsidRPr="00BE108E">
              <w:rPr>
                <w:rFonts w:eastAsia="Times New Roman" w:cs="Times New Roman"/>
                <w:sz w:val="20"/>
                <w:szCs w:val="16"/>
              </w:rPr>
              <w:t>высокая</w:t>
            </w:r>
          </w:p>
        </w:tc>
      </w:tr>
      <w:tr w:rsidR="007D7B7B" w:rsidRPr="00BE108E" w:rsidTr="00D25B2F">
        <w:trPr>
          <w:trHeight w:val="67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12</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сельского хозяйства и регулирования рынков сельскохозяйственной продукции, сырья и продовольствия</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79,1%</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83,0%</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низкая</w:t>
            </w:r>
          </w:p>
        </w:tc>
      </w:tr>
      <w:tr w:rsidR="007D7B7B" w:rsidRPr="00BE108E" w:rsidTr="00D25B2F">
        <w:trPr>
          <w:trHeight w:val="30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13</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color w:val="000000"/>
                <w:sz w:val="20"/>
                <w:szCs w:val="16"/>
              </w:rPr>
            </w:pPr>
            <w:r w:rsidRPr="00BE108E">
              <w:rPr>
                <w:rFonts w:eastAsia="Times New Roman" w:cs="Times New Roman"/>
                <w:color w:val="000000"/>
                <w:sz w:val="20"/>
                <w:szCs w:val="16"/>
              </w:rPr>
              <w:t>Развитие транспортной системы</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98,3%</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97,7%</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удовлетворительная</w:t>
            </w:r>
          </w:p>
        </w:tc>
      </w:tr>
      <w:tr w:rsidR="007D7B7B" w:rsidRPr="00BE108E" w:rsidTr="00D25B2F">
        <w:trPr>
          <w:trHeight w:val="3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14</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Развитие экономического потенциала и формирование благоприятного предпринимательского климата</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96,7%</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106,5%</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7D7B7B" w:rsidRPr="00BE108E" w:rsidTr="00D25B2F">
        <w:trPr>
          <w:trHeight w:val="2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15</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Информационное общество</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92,4%</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118,2%</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высокая</w:t>
            </w:r>
          </w:p>
        </w:tc>
      </w:tr>
      <w:tr w:rsidR="007D7B7B" w:rsidRPr="00BE108E" w:rsidTr="00D25B2F">
        <w:trPr>
          <w:trHeight w:val="296"/>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7D7B7B" w:rsidRPr="00BE108E" w:rsidRDefault="007D7B7B" w:rsidP="00CB5039">
            <w:pPr>
              <w:ind w:firstLine="0"/>
              <w:rPr>
                <w:rFonts w:eastAsia="Times New Roman" w:cs="Times New Roman"/>
                <w:sz w:val="20"/>
                <w:szCs w:val="16"/>
              </w:rPr>
            </w:pPr>
            <w:r w:rsidRPr="00BE108E">
              <w:rPr>
                <w:rFonts w:eastAsia="Times New Roman" w:cs="Times New Roman"/>
                <w:sz w:val="20"/>
                <w:szCs w:val="16"/>
              </w:rPr>
              <w:t>16</w:t>
            </w:r>
          </w:p>
        </w:tc>
        <w:tc>
          <w:tcPr>
            <w:tcW w:w="4956" w:type="dxa"/>
            <w:tcBorders>
              <w:top w:val="nil"/>
              <w:left w:val="nil"/>
              <w:bottom w:val="single" w:sz="4" w:space="0" w:color="auto"/>
              <w:right w:val="single" w:sz="4" w:space="0" w:color="auto"/>
            </w:tcBorders>
            <w:shd w:val="clear" w:color="auto" w:fill="auto"/>
            <w:vAlign w:val="center"/>
            <w:hideMark/>
          </w:tcPr>
          <w:p w:rsidR="007D7B7B" w:rsidRPr="00BE108E" w:rsidRDefault="007D7B7B" w:rsidP="00CB5039">
            <w:pPr>
              <w:ind w:firstLine="0"/>
              <w:jc w:val="left"/>
              <w:rPr>
                <w:rFonts w:eastAsia="Times New Roman" w:cs="Times New Roman"/>
                <w:sz w:val="20"/>
                <w:szCs w:val="16"/>
              </w:rPr>
            </w:pPr>
            <w:r w:rsidRPr="00BE108E">
              <w:rPr>
                <w:rFonts w:eastAsia="Times New Roman" w:cs="Times New Roman"/>
                <w:sz w:val="20"/>
                <w:szCs w:val="16"/>
              </w:rPr>
              <w:t>Управление региональными финансами, создание условий для эффективного и ответственного управления муниципальными финансами</w:t>
            </w:r>
          </w:p>
        </w:tc>
        <w:tc>
          <w:tcPr>
            <w:tcW w:w="1080"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99,7%</w:t>
            </w:r>
          </w:p>
        </w:tc>
        <w:tc>
          <w:tcPr>
            <w:tcW w:w="1249" w:type="dxa"/>
            <w:tcBorders>
              <w:top w:val="nil"/>
              <w:left w:val="nil"/>
              <w:bottom w:val="single" w:sz="4" w:space="0" w:color="auto"/>
              <w:right w:val="single" w:sz="4" w:space="0" w:color="auto"/>
            </w:tcBorders>
            <w:shd w:val="clear" w:color="auto" w:fill="auto"/>
            <w:noWrap/>
            <w:vAlign w:val="center"/>
            <w:hideMark/>
          </w:tcPr>
          <w:p w:rsidR="007D7B7B" w:rsidRPr="00D25B2F" w:rsidRDefault="007D7B7B" w:rsidP="007D7B7B">
            <w:pPr>
              <w:ind w:firstLine="0"/>
              <w:jc w:val="center"/>
              <w:rPr>
                <w:sz w:val="22"/>
              </w:rPr>
            </w:pPr>
            <w:r w:rsidRPr="00D25B2F">
              <w:rPr>
                <w:sz w:val="22"/>
              </w:rPr>
              <w:t>106,4%</w:t>
            </w:r>
          </w:p>
        </w:tc>
        <w:tc>
          <w:tcPr>
            <w:tcW w:w="1945" w:type="dxa"/>
            <w:tcBorders>
              <w:top w:val="nil"/>
              <w:left w:val="nil"/>
              <w:bottom w:val="single" w:sz="4" w:space="0" w:color="auto"/>
              <w:right w:val="single" w:sz="4" w:space="0" w:color="auto"/>
            </w:tcBorders>
            <w:shd w:val="clear" w:color="auto" w:fill="auto"/>
            <w:vAlign w:val="center"/>
            <w:hideMark/>
          </w:tcPr>
          <w:p w:rsidR="007D7B7B" w:rsidRPr="00BE108E" w:rsidRDefault="00945764" w:rsidP="000F218D">
            <w:pPr>
              <w:ind w:firstLine="0"/>
              <w:rPr>
                <w:rFonts w:eastAsia="Times New Roman" w:cs="Times New Roman"/>
                <w:sz w:val="20"/>
                <w:szCs w:val="16"/>
              </w:rPr>
            </w:pPr>
            <w:r w:rsidRPr="00BE108E">
              <w:rPr>
                <w:rFonts w:eastAsia="Times New Roman" w:cs="Times New Roman"/>
                <w:sz w:val="20"/>
                <w:szCs w:val="16"/>
              </w:rPr>
              <w:t>высокая</w:t>
            </w:r>
          </w:p>
        </w:tc>
      </w:tr>
      <w:tr w:rsidR="00DC19D7" w:rsidRPr="00BE108E" w:rsidTr="00D25B2F">
        <w:trPr>
          <w:trHeight w:val="45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DC19D7" w:rsidRPr="00BE108E" w:rsidRDefault="00DC19D7" w:rsidP="00CB5039">
            <w:pPr>
              <w:ind w:firstLine="0"/>
              <w:rPr>
                <w:rFonts w:eastAsia="Times New Roman" w:cs="Times New Roman"/>
                <w:sz w:val="20"/>
                <w:szCs w:val="16"/>
              </w:rPr>
            </w:pPr>
            <w:r w:rsidRPr="00BE108E">
              <w:rPr>
                <w:rFonts w:eastAsia="Times New Roman" w:cs="Times New Roman"/>
                <w:sz w:val="20"/>
                <w:szCs w:val="16"/>
              </w:rPr>
              <w:t>17</w:t>
            </w:r>
          </w:p>
        </w:tc>
        <w:tc>
          <w:tcPr>
            <w:tcW w:w="4956" w:type="dxa"/>
            <w:tcBorders>
              <w:top w:val="nil"/>
              <w:left w:val="nil"/>
              <w:bottom w:val="single" w:sz="4" w:space="0" w:color="auto"/>
              <w:right w:val="single" w:sz="4" w:space="0" w:color="auto"/>
            </w:tcBorders>
            <w:shd w:val="clear" w:color="auto" w:fill="auto"/>
            <w:vAlign w:val="center"/>
            <w:hideMark/>
          </w:tcPr>
          <w:p w:rsidR="00DC19D7" w:rsidRPr="00BE108E" w:rsidRDefault="00DC19D7" w:rsidP="00CB5039">
            <w:pPr>
              <w:ind w:firstLine="0"/>
              <w:jc w:val="left"/>
              <w:rPr>
                <w:rFonts w:eastAsia="Times New Roman" w:cs="Times New Roman"/>
                <w:sz w:val="20"/>
                <w:szCs w:val="16"/>
              </w:rPr>
            </w:pPr>
            <w:r w:rsidRPr="00BE108E">
              <w:rPr>
                <w:rFonts w:eastAsia="Times New Roman" w:cs="Times New Roman"/>
                <w:sz w:val="20"/>
                <w:szCs w:val="16"/>
              </w:rPr>
              <w:t>Государственное управление и гражданское общество</w:t>
            </w:r>
          </w:p>
        </w:tc>
        <w:tc>
          <w:tcPr>
            <w:tcW w:w="1080" w:type="dxa"/>
            <w:tcBorders>
              <w:top w:val="nil"/>
              <w:left w:val="nil"/>
              <w:bottom w:val="single" w:sz="4" w:space="0" w:color="auto"/>
              <w:right w:val="single" w:sz="4" w:space="0" w:color="auto"/>
            </w:tcBorders>
            <w:shd w:val="clear" w:color="auto" w:fill="auto"/>
            <w:noWrap/>
            <w:vAlign w:val="center"/>
            <w:hideMark/>
          </w:tcPr>
          <w:p w:rsidR="00DC19D7" w:rsidRPr="00D25B2F" w:rsidRDefault="00DC19D7" w:rsidP="007D7B7B">
            <w:pPr>
              <w:ind w:firstLine="0"/>
              <w:jc w:val="center"/>
              <w:rPr>
                <w:rFonts w:cs="Times New Roman"/>
                <w:sz w:val="22"/>
              </w:rPr>
            </w:pPr>
            <w:r w:rsidRPr="00D25B2F">
              <w:rPr>
                <w:rFonts w:cs="Times New Roman"/>
                <w:sz w:val="22"/>
              </w:rPr>
              <w:t>100,2%</w:t>
            </w:r>
          </w:p>
        </w:tc>
        <w:tc>
          <w:tcPr>
            <w:tcW w:w="1249" w:type="dxa"/>
            <w:tcBorders>
              <w:top w:val="nil"/>
              <w:left w:val="nil"/>
              <w:bottom w:val="single" w:sz="4" w:space="0" w:color="auto"/>
              <w:right w:val="single" w:sz="4" w:space="0" w:color="auto"/>
            </w:tcBorders>
            <w:shd w:val="clear" w:color="auto" w:fill="auto"/>
            <w:noWrap/>
            <w:vAlign w:val="center"/>
            <w:hideMark/>
          </w:tcPr>
          <w:p w:rsidR="00DC19D7" w:rsidRPr="00D25B2F" w:rsidRDefault="00DC19D7" w:rsidP="007D7B7B">
            <w:pPr>
              <w:ind w:firstLine="0"/>
              <w:jc w:val="center"/>
              <w:rPr>
                <w:rFonts w:cs="Times New Roman"/>
                <w:sz w:val="22"/>
              </w:rPr>
            </w:pPr>
            <w:r w:rsidRPr="00D25B2F">
              <w:rPr>
                <w:rFonts w:cs="Times New Roman"/>
                <w:sz w:val="22"/>
              </w:rPr>
              <w:t>101,8%</w:t>
            </w:r>
          </w:p>
        </w:tc>
        <w:tc>
          <w:tcPr>
            <w:tcW w:w="1945" w:type="dxa"/>
            <w:tcBorders>
              <w:top w:val="nil"/>
              <w:left w:val="nil"/>
              <w:bottom w:val="single" w:sz="4" w:space="0" w:color="auto"/>
              <w:right w:val="single" w:sz="4" w:space="0" w:color="auto"/>
            </w:tcBorders>
            <w:shd w:val="clear" w:color="auto" w:fill="auto"/>
            <w:vAlign w:val="center"/>
            <w:hideMark/>
          </w:tcPr>
          <w:p w:rsidR="00DC19D7" w:rsidRPr="00BE108E" w:rsidRDefault="00DC19D7" w:rsidP="00CB5039">
            <w:pPr>
              <w:ind w:firstLine="0"/>
              <w:rPr>
                <w:rFonts w:eastAsia="Times New Roman" w:cs="Times New Roman"/>
                <w:sz w:val="20"/>
                <w:szCs w:val="16"/>
              </w:rPr>
            </w:pPr>
            <w:r w:rsidRPr="00BE108E">
              <w:rPr>
                <w:rFonts w:eastAsia="Times New Roman" w:cs="Times New Roman"/>
                <w:sz w:val="20"/>
                <w:szCs w:val="16"/>
              </w:rPr>
              <w:t>удовлетворительная</w:t>
            </w:r>
          </w:p>
        </w:tc>
      </w:tr>
    </w:tbl>
    <w:p w:rsidR="009C7FE5" w:rsidRDefault="009C7FE5" w:rsidP="006244A7">
      <w:pPr>
        <w:autoSpaceDE w:val="0"/>
        <w:autoSpaceDN w:val="0"/>
        <w:adjustRightInd w:val="0"/>
        <w:ind w:firstLine="540"/>
        <w:rPr>
          <w:rFonts w:cs="Times New Roman"/>
          <w:szCs w:val="28"/>
        </w:rPr>
      </w:pPr>
    </w:p>
    <w:p w:rsidR="009C7FE5" w:rsidRPr="00BE108E" w:rsidRDefault="009C7FE5" w:rsidP="006244A7">
      <w:pPr>
        <w:autoSpaceDE w:val="0"/>
        <w:autoSpaceDN w:val="0"/>
        <w:adjustRightInd w:val="0"/>
        <w:ind w:firstLine="540"/>
        <w:rPr>
          <w:rFonts w:cs="Times New Roman"/>
          <w:szCs w:val="28"/>
        </w:rPr>
      </w:pPr>
    </w:p>
    <w:p w:rsidR="00597D62" w:rsidRDefault="00597D62">
      <w:pPr>
        <w:spacing w:after="200" w:line="276" w:lineRule="auto"/>
        <w:ind w:firstLine="0"/>
        <w:jc w:val="left"/>
        <w:rPr>
          <w:rFonts w:eastAsiaTheme="majorEastAsia" w:cstheme="majorBidi"/>
          <w:b/>
          <w:bCs/>
          <w:szCs w:val="28"/>
        </w:rPr>
      </w:pPr>
      <w:r>
        <w:br w:type="page"/>
      </w:r>
    </w:p>
    <w:p w:rsidR="009C670B" w:rsidRPr="00BE108E" w:rsidRDefault="009C670B" w:rsidP="00B93BB7">
      <w:pPr>
        <w:pStyle w:val="1"/>
      </w:pPr>
      <w:r w:rsidRPr="00BE108E">
        <w:lastRenderedPageBreak/>
        <w:t xml:space="preserve">Краткая информация о результатах реализации </w:t>
      </w:r>
      <w:r w:rsidR="00D8188F" w:rsidRPr="00BE108E">
        <w:t>государственных программ</w:t>
      </w:r>
      <w:r w:rsidRPr="00BE108E">
        <w:t xml:space="preserve"> Мурманской области </w:t>
      </w:r>
    </w:p>
    <w:p w:rsidR="009C670B" w:rsidRPr="00BE108E" w:rsidRDefault="009C670B" w:rsidP="00FF4E43">
      <w:pPr>
        <w:pStyle w:val="ConsPlusCell"/>
        <w:ind w:firstLine="709"/>
        <w:jc w:val="both"/>
        <w:rPr>
          <w:rStyle w:val="FontStyle14"/>
          <w:sz w:val="28"/>
          <w:szCs w:val="28"/>
        </w:rPr>
      </w:pPr>
    </w:p>
    <w:p w:rsidR="00FF4E43" w:rsidRPr="00BE108E" w:rsidRDefault="00FF4E43" w:rsidP="00B93BB7">
      <w:pPr>
        <w:pStyle w:val="1"/>
        <w:rPr>
          <w:rStyle w:val="FontStyle14"/>
          <w:sz w:val="28"/>
          <w:szCs w:val="28"/>
        </w:rPr>
      </w:pPr>
      <w:r w:rsidRPr="00BE108E">
        <w:rPr>
          <w:rStyle w:val="FontStyle14"/>
          <w:sz w:val="28"/>
          <w:szCs w:val="28"/>
        </w:rPr>
        <w:t xml:space="preserve">Государственная программа 1 «Развитие здравоохранения» </w:t>
      </w:r>
    </w:p>
    <w:p w:rsidR="009C7FE5" w:rsidRPr="00BE108E" w:rsidRDefault="009C7FE5" w:rsidP="009C7FE5">
      <w:pPr>
        <w:pStyle w:val="ConsPlusCell"/>
        <w:ind w:firstLine="709"/>
        <w:jc w:val="both"/>
        <w:rPr>
          <w:rStyle w:val="FontStyle14"/>
          <w:sz w:val="28"/>
          <w:szCs w:val="28"/>
        </w:rPr>
      </w:pPr>
    </w:p>
    <w:p w:rsidR="009C7FE5" w:rsidRPr="00BE108E" w:rsidRDefault="009C7FE5" w:rsidP="009C7FE5">
      <w:pPr>
        <w:pStyle w:val="ConsPlusCell"/>
        <w:jc w:val="both"/>
        <w:rPr>
          <w:rStyle w:val="FontStyle14"/>
          <w:sz w:val="28"/>
          <w:szCs w:val="28"/>
        </w:rPr>
      </w:pPr>
      <w:r w:rsidRPr="00BE108E">
        <w:rPr>
          <w:noProof/>
        </w:rPr>
        <w:drawing>
          <wp:inline distT="0" distB="0" distL="0" distR="0">
            <wp:extent cx="2498652" cy="3019646"/>
            <wp:effectExtent l="0" t="0" r="1651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BE108E">
        <w:rPr>
          <w:noProof/>
        </w:rPr>
        <w:t xml:space="preserve"> </w:t>
      </w:r>
      <w:r w:rsidRPr="00BE108E">
        <w:rPr>
          <w:noProof/>
        </w:rPr>
        <w:drawing>
          <wp:inline distT="0" distB="0" distL="0" distR="0">
            <wp:extent cx="3476847" cy="3019647"/>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0651A" w:rsidRPr="00F0651A" w:rsidRDefault="00F0651A" w:rsidP="00C13F31">
      <w:pPr>
        <w:ind w:firstLine="0"/>
        <w:jc w:val="center"/>
        <w:rPr>
          <w:rFonts w:cs="Times New Roman"/>
          <w:sz w:val="24"/>
          <w:szCs w:val="28"/>
        </w:rPr>
      </w:pPr>
      <w:r w:rsidRPr="00F0651A">
        <w:rPr>
          <w:rFonts w:cs="Times New Roman"/>
          <w:sz w:val="24"/>
          <w:szCs w:val="28"/>
        </w:rPr>
        <w:t xml:space="preserve">Рисунок </w:t>
      </w:r>
      <w:r>
        <w:rPr>
          <w:rFonts w:cs="Times New Roman"/>
          <w:sz w:val="24"/>
          <w:szCs w:val="28"/>
        </w:rPr>
        <w:t>5</w:t>
      </w:r>
    </w:p>
    <w:p w:rsidR="009C7FE5" w:rsidRPr="00BE108E" w:rsidRDefault="009C7FE5" w:rsidP="009C7FE5">
      <w:pPr>
        <w:pStyle w:val="ConsPlusCell"/>
        <w:ind w:firstLine="709"/>
        <w:jc w:val="both"/>
        <w:rPr>
          <w:rStyle w:val="FontStyle14"/>
          <w:sz w:val="28"/>
          <w:szCs w:val="28"/>
        </w:rPr>
      </w:pP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 2014 году на реализацию государственной программы за счет всех источников финансирования предусматривалось направить 22</w:t>
      </w:r>
      <w:r w:rsidR="008E4898" w:rsidRPr="00BE108E">
        <w:rPr>
          <w:rStyle w:val="FontStyle14"/>
          <w:sz w:val="28"/>
          <w:szCs w:val="28"/>
        </w:rPr>
        <w:t> </w:t>
      </w:r>
      <w:r w:rsidRPr="00BE108E">
        <w:rPr>
          <w:rStyle w:val="FontStyle14"/>
          <w:sz w:val="28"/>
          <w:szCs w:val="28"/>
        </w:rPr>
        <w:t>415,9 млн. рублей.</w:t>
      </w:r>
      <w:r w:rsidR="009C7FE5">
        <w:rPr>
          <w:rStyle w:val="FontStyle14"/>
          <w:sz w:val="28"/>
          <w:szCs w:val="28"/>
        </w:rPr>
        <w:t xml:space="preserve"> </w:t>
      </w:r>
      <w:r w:rsidRPr="00BE108E">
        <w:rPr>
          <w:rStyle w:val="FontStyle14"/>
          <w:sz w:val="28"/>
          <w:szCs w:val="28"/>
        </w:rPr>
        <w:t>Кассовые расходы на реализацию программы составили 21 854 млн. рублей (97,5% от запланированного), в том числе из средств областного бюджета – 9 293,1 млн. рублей (97,6%), из средств федерального бюджета – 395,4 млн. рублей (84,9%), из внебюджетных средств – 12 165,5 млн. рублей (97,9%).</w:t>
      </w:r>
    </w:p>
    <w:p w:rsidR="00FF4E43" w:rsidRPr="00BE108E" w:rsidRDefault="00FF4E43" w:rsidP="00FF4E43">
      <w:pPr>
        <w:pStyle w:val="ConsPlusCell"/>
        <w:ind w:firstLine="709"/>
        <w:jc w:val="both"/>
        <w:rPr>
          <w:rStyle w:val="FontStyle14"/>
          <w:sz w:val="28"/>
          <w:szCs w:val="28"/>
        </w:rPr>
      </w:pPr>
      <w:proofErr w:type="gramStart"/>
      <w:r w:rsidRPr="00BE108E">
        <w:rPr>
          <w:rStyle w:val="FontStyle14"/>
          <w:sz w:val="28"/>
          <w:szCs w:val="28"/>
        </w:rPr>
        <w:t xml:space="preserve">В 2014 году в рамках государственной программы проводились мероприятия, направленные на </w:t>
      </w:r>
      <w:r w:rsidRPr="008C5A6B">
        <w:rPr>
          <w:rStyle w:val="FontStyle14"/>
          <w:b/>
          <w:sz w:val="28"/>
          <w:szCs w:val="28"/>
        </w:rPr>
        <w:t>создание условий для формирования здорового образа жизни у населения региона</w:t>
      </w:r>
      <w:r w:rsidRPr="00BE108E">
        <w:rPr>
          <w:rStyle w:val="FontStyle14"/>
          <w:sz w:val="28"/>
          <w:szCs w:val="28"/>
        </w:rPr>
        <w:t>, в том числе путем медицинской профилактики неинфекционных заболеваний в школах и центрах здоровья при медицинских организациях области, а также формирования негативного отношения к потреблению наркотических средств и психотропных веществ, алкоголя, табакокурению.</w:t>
      </w:r>
      <w:proofErr w:type="gramEnd"/>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 2014 году в Центры здоровья обратилось 16</w:t>
      </w:r>
      <w:r w:rsidR="00EE537D">
        <w:rPr>
          <w:rStyle w:val="FontStyle14"/>
          <w:sz w:val="28"/>
          <w:szCs w:val="28"/>
        </w:rPr>
        <w:t> </w:t>
      </w:r>
      <w:r w:rsidRPr="00BE108E">
        <w:rPr>
          <w:rStyle w:val="FontStyle14"/>
          <w:sz w:val="28"/>
          <w:szCs w:val="28"/>
        </w:rPr>
        <w:t>112 человек (9 925 взрослых и 6 187 детей)</w:t>
      </w:r>
      <w:r w:rsidR="009C7FE5">
        <w:rPr>
          <w:rStyle w:val="FontStyle14"/>
          <w:sz w:val="28"/>
          <w:szCs w:val="28"/>
        </w:rPr>
        <w:t>,</w:t>
      </w:r>
      <w:r w:rsidRPr="00BE108E">
        <w:rPr>
          <w:rStyle w:val="FontStyle14"/>
          <w:sz w:val="28"/>
          <w:szCs w:val="28"/>
        </w:rPr>
        <w:t xml:space="preserve"> все обратившиеся прошли обучение здоровому образу жизни</w:t>
      </w:r>
      <w:r w:rsidR="009C7FE5">
        <w:rPr>
          <w:rStyle w:val="FontStyle14"/>
          <w:sz w:val="28"/>
          <w:szCs w:val="28"/>
        </w:rPr>
        <w:t>,</w:t>
      </w:r>
      <w:r w:rsidRPr="00BE108E">
        <w:rPr>
          <w:rStyle w:val="FontStyle14"/>
          <w:sz w:val="28"/>
          <w:szCs w:val="28"/>
        </w:rPr>
        <w:t xml:space="preserve"> выявлены факторы риска заболеваний в целом у 66% обратившихся.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w:t>
      </w:r>
      <w:proofErr w:type="gramStart"/>
      <w:r w:rsidRPr="00BE108E">
        <w:rPr>
          <w:rStyle w:val="FontStyle14"/>
          <w:sz w:val="28"/>
          <w:szCs w:val="28"/>
        </w:rPr>
        <w:t>рамках</w:t>
      </w:r>
      <w:proofErr w:type="gramEnd"/>
      <w:r w:rsidRPr="00BE108E">
        <w:rPr>
          <w:rStyle w:val="FontStyle14"/>
          <w:sz w:val="28"/>
          <w:szCs w:val="28"/>
        </w:rPr>
        <w:t xml:space="preserve"> проведения диспансеризации отдельных категорий граждан в отчетном году было осмотрено </w:t>
      </w:r>
      <w:r w:rsidR="00EE537D">
        <w:rPr>
          <w:rStyle w:val="FontStyle14"/>
          <w:sz w:val="28"/>
          <w:szCs w:val="28"/>
        </w:rPr>
        <w:t>72 192</w:t>
      </w:r>
      <w:r w:rsidRPr="00BE108E">
        <w:rPr>
          <w:rStyle w:val="FontStyle14"/>
          <w:sz w:val="28"/>
          <w:szCs w:val="28"/>
        </w:rPr>
        <w:t xml:space="preserve"> человека. Благодаря работе передвижных медицинских пунктов в рамках проекта «Поезд здоровья» медицинскими специалистами обследовано и проконсультировано более 11 тысяч жителей отдаленных населенных пунктов Мурманской области. Осуществлялась </w:t>
      </w:r>
      <w:r w:rsidRPr="00BE108E">
        <w:rPr>
          <w:rStyle w:val="FontStyle14"/>
          <w:sz w:val="28"/>
          <w:szCs w:val="28"/>
        </w:rPr>
        <w:lastRenderedPageBreak/>
        <w:t>иммунизация населения в рамках национального календаря профилактических прививок.</w:t>
      </w:r>
    </w:p>
    <w:p w:rsidR="00FF4E43" w:rsidRPr="00BE108E" w:rsidRDefault="00FF4E43" w:rsidP="00FF4E43">
      <w:pPr>
        <w:pStyle w:val="ConsPlusCell"/>
        <w:ind w:firstLine="709"/>
        <w:jc w:val="both"/>
        <w:rPr>
          <w:rStyle w:val="FontStyle14"/>
          <w:sz w:val="28"/>
          <w:szCs w:val="28"/>
        </w:rPr>
      </w:pPr>
      <w:proofErr w:type="gramStart"/>
      <w:r w:rsidRPr="00BE108E">
        <w:rPr>
          <w:rStyle w:val="FontStyle14"/>
          <w:sz w:val="28"/>
          <w:szCs w:val="28"/>
        </w:rPr>
        <w:t>В соответствии с действующим законодательством в 2014 году проводило</w:t>
      </w:r>
      <w:r w:rsidR="009C7FE5">
        <w:rPr>
          <w:rStyle w:val="FontStyle14"/>
          <w:sz w:val="28"/>
          <w:szCs w:val="28"/>
        </w:rPr>
        <w:t>сь</w:t>
      </w:r>
      <w:r w:rsidRPr="00BE108E">
        <w:rPr>
          <w:rStyle w:val="FontStyle14"/>
          <w:sz w:val="28"/>
          <w:szCs w:val="28"/>
        </w:rPr>
        <w:t xml:space="preserve"> обеспечение отдельных категорий граждан лекарственными препаратами, изделиями медицинского назначения и специализированными продуктами питания бесплатно или с 50% скидкой по рецептам врачей через аптечные сети (за счет средств областного и федерального бюджетов лекарственными препаратами были обеспечены 70 511 человек по 405</w:t>
      </w:r>
      <w:r w:rsidR="009C7FE5">
        <w:rPr>
          <w:rStyle w:val="FontStyle14"/>
          <w:sz w:val="28"/>
          <w:szCs w:val="28"/>
        </w:rPr>
        <w:t> </w:t>
      </w:r>
      <w:r w:rsidRPr="00BE108E">
        <w:rPr>
          <w:rStyle w:val="FontStyle14"/>
          <w:sz w:val="28"/>
          <w:szCs w:val="28"/>
        </w:rPr>
        <w:t>263 рецептам</w:t>
      </w:r>
      <w:r w:rsidR="00B63F0D" w:rsidRPr="00BE108E">
        <w:rPr>
          <w:rStyle w:val="FontStyle14"/>
          <w:sz w:val="28"/>
          <w:szCs w:val="28"/>
        </w:rPr>
        <w:t>)</w:t>
      </w:r>
      <w:r w:rsidRPr="00BE108E">
        <w:rPr>
          <w:rStyle w:val="FontStyle14"/>
          <w:sz w:val="28"/>
          <w:szCs w:val="28"/>
        </w:rPr>
        <w:t>.</w:t>
      </w:r>
      <w:proofErr w:type="gramEnd"/>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Медицинскими учреждениями региона осуществлялось предоставление населению услуг по </w:t>
      </w:r>
      <w:r w:rsidRPr="008C5A6B">
        <w:rPr>
          <w:rStyle w:val="FontStyle14"/>
          <w:b/>
          <w:sz w:val="28"/>
          <w:szCs w:val="28"/>
        </w:rPr>
        <w:t>оказанию первичной медико-санитарной, специализированной, скорой медицинской помощи, медицинской эвакуации, медицинской реабилитации и паллиативной помощи</w:t>
      </w:r>
      <w:r w:rsidRPr="00BE108E">
        <w:rPr>
          <w:rStyle w:val="FontStyle14"/>
          <w:sz w:val="28"/>
          <w:szCs w:val="28"/>
        </w:rPr>
        <w:t xml:space="preserve">. Высокотехнологичную медицинскую помощь в 2014 году получили 5847 жителей региона, что на 21% больше, чем в предыдущем году.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положение об оказании медицинской помощи больным с онкологическими заболеваниями внесены изменения, включая </w:t>
      </w:r>
      <w:r w:rsidR="004B2D6E">
        <w:rPr>
          <w:rStyle w:val="FontStyle14"/>
          <w:sz w:val="28"/>
          <w:szCs w:val="28"/>
        </w:rPr>
        <w:t xml:space="preserve">организацию </w:t>
      </w:r>
      <w:r w:rsidRPr="00BE108E">
        <w:rPr>
          <w:rStyle w:val="FontStyle14"/>
          <w:sz w:val="28"/>
          <w:szCs w:val="28"/>
        </w:rPr>
        <w:t>систем</w:t>
      </w:r>
      <w:r w:rsidR="004B2D6E">
        <w:rPr>
          <w:rStyle w:val="FontStyle14"/>
          <w:sz w:val="28"/>
          <w:szCs w:val="28"/>
        </w:rPr>
        <w:t>ы</w:t>
      </w:r>
      <w:r w:rsidRPr="00BE108E">
        <w:rPr>
          <w:rStyle w:val="FontStyle14"/>
          <w:sz w:val="28"/>
          <w:szCs w:val="28"/>
        </w:rPr>
        <w:t xml:space="preserve"> динамического наблюдения за пациентами, утвержден план по снижению смертности от онкологических заболеваний на 2014-2018 годы. В двух медицинских организациях региона укомплектованы штатные должности врачей первичных онкологических кабинетов, 2108 онкологических больных обеспечены лекарственными препаратами для амбулаторного лечения. В Мурманск</w:t>
      </w:r>
      <w:r w:rsidR="004B2D6E">
        <w:rPr>
          <w:rStyle w:val="FontStyle14"/>
          <w:sz w:val="28"/>
          <w:szCs w:val="28"/>
        </w:rPr>
        <w:t>ий</w:t>
      </w:r>
      <w:r w:rsidRPr="00BE108E">
        <w:rPr>
          <w:rStyle w:val="FontStyle14"/>
          <w:sz w:val="28"/>
          <w:szCs w:val="28"/>
        </w:rPr>
        <w:t xml:space="preserve"> областно</w:t>
      </w:r>
      <w:r w:rsidR="004B2D6E">
        <w:rPr>
          <w:rStyle w:val="FontStyle14"/>
          <w:sz w:val="28"/>
          <w:szCs w:val="28"/>
        </w:rPr>
        <w:t>й</w:t>
      </w:r>
      <w:r w:rsidRPr="00BE108E">
        <w:rPr>
          <w:rStyle w:val="FontStyle14"/>
          <w:sz w:val="28"/>
          <w:szCs w:val="28"/>
        </w:rPr>
        <w:t xml:space="preserve"> онкологическ</w:t>
      </w:r>
      <w:r w:rsidR="004B2D6E">
        <w:rPr>
          <w:rStyle w:val="FontStyle14"/>
          <w:sz w:val="28"/>
          <w:szCs w:val="28"/>
        </w:rPr>
        <w:t>ий</w:t>
      </w:r>
      <w:r w:rsidRPr="00BE108E">
        <w:rPr>
          <w:rStyle w:val="FontStyle14"/>
          <w:sz w:val="28"/>
          <w:szCs w:val="28"/>
        </w:rPr>
        <w:t xml:space="preserve"> диспансер приобретено оборудование, выполнены ремонтные работы. В </w:t>
      </w:r>
      <w:proofErr w:type="gramStart"/>
      <w:r w:rsidRPr="00BE108E">
        <w:rPr>
          <w:rStyle w:val="FontStyle14"/>
          <w:sz w:val="28"/>
          <w:szCs w:val="28"/>
        </w:rPr>
        <w:t>результате</w:t>
      </w:r>
      <w:proofErr w:type="gramEnd"/>
      <w:r w:rsidRPr="00BE108E">
        <w:rPr>
          <w:rStyle w:val="FontStyle14"/>
          <w:sz w:val="28"/>
          <w:szCs w:val="28"/>
        </w:rPr>
        <w:t xml:space="preserve"> принятых мер на 9% снизилась одногодичная летальность больных со злокачественными новообразованиями.</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w:t>
      </w:r>
      <w:proofErr w:type="gramStart"/>
      <w:r w:rsidRPr="00BE108E">
        <w:rPr>
          <w:rStyle w:val="FontStyle14"/>
          <w:sz w:val="28"/>
          <w:szCs w:val="28"/>
        </w:rPr>
        <w:t>рамках</w:t>
      </w:r>
      <w:proofErr w:type="gramEnd"/>
      <w:r w:rsidRPr="00BE108E">
        <w:rPr>
          <w:rStyle w:val="FontStyle14"/>
          <w:sz w:val="28"/>
          <w:szCs w:val="28"/>
        </w:rPr>
        <w:t xml:space="preserve"> мер по предупреждению и снижению смертности от болезней системы кровообращения в 2014 году завершен ремонт отделения для лечения острых нарушений мозгового кровообращения регионального сосудистого центра</w:t>
      </w:r>
      <w:r w:rsidR="004B2D6E">
        <w:rPr>
          <w:rStyle w:val="FontStyle14"/>
          <w:sz w:val="28"/>
          <w:szCs w:val="28"/>
        </w:rPr>
        <w:t>.</w:t>
      </w:r>
      <w:r w:rsidRPr="00BE108E">
        <w:rPr>
          <w:rStyle w:val="FontStyle14"/>
          <w:sz w:val="28"/>
          <w:szCs w:val="28"/>
        </w:rPr>
        <w:t xml:space="preserve"> </w:t>
      </w:r>
      <w:r w:rsidR="004B2D6E">
        <w:rPr>
          <w:rStyle w:val="FontStyle14"/>
          <w:sz w:val="28"/>
          <w:szCs w:val="28"/>
        </w:rPr>
        <w:t>В</w:t>
      </w:r>
      <w:r w:rsidRPr="00BE108E">
        <w:rPr>
          <w:rStyle w:val="FontStyle14"/>
          <w:sz w:val="28"/>
          <w:szCs w:val="28"/>
        </w:rPr>
        <w:t xml:space="preserve"> региональный сосудистый центр и два первичных сосудистых отделения за счет средств федерального бюджета дополнительно приобретено и поставлено 53 единицы медицинского оборудования. Положительным эффектом стало снижение смертности от цереброваскулярных заболеваний.</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Реализовались мероприятия приоритетного национального проекта по укреплению материально-технической базы учреждений здравоохранения, участвующих в оказании медицинской помощи пострадавшим в результате дорожно-транспортных происшествий. В 4 учреждения здравоохранения закуплено и поставлено 205 единиц медицинского оборудования и 3 автомобиля скорой медицинской помощи.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Реализация мероприятий по </w:t>
      </w:r>
      <w:r w:rsidRPr="008C5A6B">
        <w:rPr>
          <w:rStyle w:val="FontStyle14"/>
          <w:b/>
          <w:sz w:val="28"/>
          <w:szCs w:val="28"/>
        </w:rPr>
        <w:t>развитию службы крови</w:t>
      </w:r>
      <w:r w:rsidRPr="00BE108E">
        <w:rPr>
          <w:rStyle w:val="FontStyle14"/>
          <w:sz w:val="28"/>
          <w:szCs w:val="28"/>
        </w:rPr>
        <w:t xml:space="preserve"> позволила увеличить объем заготовленной консервированной донорской крови, повысить количество донаций крови и ее компонентов на 1 донора с 2,6 до 2,7, а также повысить качество и безопасность заготавливаемых компонентов крови.</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С целью </w:t>
      </w:r>
      <w:r w:rsidRPr="008C5A6B">
        <w:rPr>
          <w:rStyle w:val="FontStyle14"/>
          <w:b/>
          <w:sz w:val="28"/>
          <w:szCs w:val="28"/>
        </w:rPr>
        <w:t>внедрения современных методик диагностики, лечения и реабилитации матерей и детей и укрепления материально-технической базы медицинских учреждений для матерей и детей</w:t>
      </w:r>
      <w:r w:rsidRPr="00BE108E">
        <w:rPr>
          <w:rStyle w:val="FontStyle14"/>
          <w:sz w:val="28"/>
          <w:szCs w:val="28"/>
        </w:rPr>
        <w:t xml:space="preserve"> приобретались </w:t>
      </w:r>
      <w:r w:rsidRPr="00BE108E">
        <w:rPr>
          <w:rStyle w:val="FontStyle14"/>
          <w:sz w:val="28"/>
          <w:szCs w:val="28"/>
        </w:rPr>
        <w:lastRenderedPageBreak/>
        <w:t>диагностические системы, современное оборудование и расходные материалы для обеспечения раннего выявления наиболее распространенных врожденных и наследственных заболеваний у новорожд</w:t>
      </w:r>
      <w:r w:rsidR="00265124" w:rsidRPr="00BE108E">
        <w:rPr>
          <w:rStyle w:val="FontStyle14"/>
          <w:sz w:val="28"/>
          <w:szCs w:val="28"/>
        </w:rPr>
        <w:t>е</w:t>
      </w:r>
      <w:r w:rsidRPr="00BE108E">
        <w:rPr>
          <w:rStyle w:val="FontStyle14"/>
          <w:sz w:val="28"/>
          <w:szCs w:val="28"/>
        </w:rPr>
        <w:t xml:space="preserve">нных детей и наиболее распространенных врожденных аномалий развития плода. </w:t>
      </w:r>
      <w:proofErr w:type="spellStart"/>
      <w:r w:rsidRPr="00BE108E">
        <w:rPr>
          <w:rStyle w:val="FontStyle14"/>
          <w:sz w:val="28"/>
          <w:szCs w:val="28"/>
        </w:rPr>
        <w:t>Неонатальный</w:t>
      </w:r>
      <w:proofErr w:type="spellEnd"/>
      <w:r w:rsidRPr="00BE108E">
        <w:rPr>
          <w:rStyle w:val="FontStyle14"/>
          <w:sz w:val="28"/>
          <w:szCs w:val="28"/>
        </w:rPr>
        <w:t xml:space="preserve"> и </w:t>
      </w:r>
      <w:proofErr w:type="spellStart"/>
      <w:r w:rsidRPr="00BE108E">
        <w:rPr>
          <w:rStyle w:val="FontStyle14"/>
          <w:sz w:val="28"/>
          <w:szCs w:val="28"/>
        </w:rPr>
        <w:t>аудиологический</w:t>
      </w:r>
      <w:proofErr w:type="spellEnd"/>
      <w:r w:rsidRPr="00BE108E">
        <w:rPr>
          <w:rStyle w:val="FontStyle14"/>
          <w:sz w:val="28"/>
          <w:szCs w:val="28"/>
        </w:rPr>
        <w:t xml:space="preserve"> скрининг проведен 9134 новорожденным.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На базе Мурманского областного перинатального центра в 2014 году пролечен 2261 новорожденный, из них 279 (12,3%) – недоношенные дети, в том числе 41 ребенок с экстремально низкой массой.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w:t>
      </w:r>
      <w:proofErr w:type="gramStart"/>
      <w:r w:rsidRPr="00BE108E">
        <w:rPr>
          <w:rStyle w:val="FontStyle14"/>
          <w:sz w:val="28"/>
          <w:szCs w:val="28"/>
        </w:rPr>
        <w:t>результате</w:t>
      </w:r>
      <w:proofErr w:type="gramEnd"/>
      <w:r w:rsidRPr="00BE108E">
        <w:rPr>
          <w:rStyle w:val="FontStyle14"/>
          <w:sz w:val="28"/>
          <w:szCs w:val="28"/>
        </w:rPr>
        <w:t xml:space="preserve"> проведения организационных мероприятий по совершенствованию маршрутизации беременных в 2014 году на 10% снизился показатель</w:t>
      </w:r>
      <w:r w:rsidR="004B2D6E">
        <w:rPr>
          <w:rStyle w:val="FontStyle14"/>
          <w:sz w:val="28"/>
          <w:szCs w:val="28"/>
        </w:rPr>
        <w:t xml:space="preserve"> ранней неонатальной смертности</w:t>
      </w:r>
      <w:r w:rsidRPr="00BE108E">
        <w:rPr>
          <w:rStyle w:val="FontStyle14"/>
          <w:sz w:val="28"/>
          <w:szCs w:val="28"/>
        </w:rPr>
        <w:t>.</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Осуществлялось обеспечение социальной поддержки беременных женщин, кормящих матерей и детей в возрасте до 3 лет, содержание, лечение и реабилитация детей в специализированных домах ребенка, оплата услуг по экстракорпоральному оплодотворению.</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 2014 году проводилась государственная экспертиза проектной документации объекта «Строительство областной детской многопрофильной больницы в г. Мурманске» в ФАУ «Главгосэкспертиза», по итогам которой получено отрицательное заключение. Устранение замечаний и корректировка ПСД запланирована на 2015 год.</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Была продолжена работа по </w:t>
      </w:r>
      <w:r w:rsidRPr="008C5A6B">
        <w:rPr>
          <w:rStyle w:val="FontStyle14"/>
          <w:b/>
          <w:sz w:val="28"/>
          <w:szCs w:val="28"/>
        </w:rPr>
        <w:t>развитию инфраструктуры системы здравоохранения</w:t>
      </w:r>
      <w:r w:rsidRPr="00BE108E">
        <w:rPr>
          <w:rStyle w:val="FontStyle14"/>
          <w:sz w:val="28"/>
          <w:szCs w:val="28"/>
        </w:rPr>
        <w:t xml:space="preserve"> и приведению состояния учреждений здравоохранения в соответствие с современными требованиями. В 24 из 25 учреждений здравоохранения закончены капитальные ремонты на 64 из 65 запланированных объектов</w:t>
      </w:r>
      <w:r w:rsidR="004B2D6E">
        <w:rPr>
          <w:rStyle w:val="FontStyle14"/>
          <w:sz w:val="28"/>
          <w:szCs w:val="28"/>
        </w:rPr>
        <w:t>,</w:t>
      </w:r>
      <w:r w:rsidRPr="00BE108E">
        <w:rPr>
          <w:rStyle w:val="FontStyle14"/>
          <w:sz w:val="28"/>
          <w:szCs w:val="28"/>
        </w:rPr>
        <w:t xml:space="preserve"> поставлено 47 единиц автотранспорта.</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w:t>
      </w:r>
      <w:proofErr w:type="gramStart"/>
      <w:r w:rsidRPr="00BE108E">
        <w:rPr>
          <w:rStyle w:val="FontStyle14"/>
          <w:sz w:val="28"/>
          <w:szCs w:val="28"/>
        </w:rPr>
        <w:t>декабре</w:t>
      </w:r>
      <w:proofErr w:type="gramEnd"/>
      <w:r w:rsidRPr="00BE108E">
        <w:rPr>
          <w:rStyle w:val="FontStyle14"/>
          <w:sz w:val="28"/>
          <w:szCs w:val="28"/>
        </w:rPr>
        <w:t xml:space="preserve"> 2014 года введен в эксплуатацию главный корпус Мурманского областного противотуберкулезного диспансера, не завершено строительство модульных очистных сооружений и резервной котельной, ввод в эксплуатацию которых запланирован в первой половине 2015 года. Осуществлялись работы по реконструкции пищеблока Мончегорской ЦРБ и основной части главного корпуса больницы в г. Кировск, ввод объектов в эксплуатацию запланирован в 2015 году.</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Разработана проектная документация по объектам: реконструкция здания городской поликлиники Мончегорской ЦРБ в г. Мончегорске (1 очередь – пристройка) (получено отрицательное заключение экспертизы), реконструкция радиологического корпуса Мурманского областного онкологического диспансера (получено отрицательное заключение ФАУ «Главгосэкспертиза»).</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Министерством здравоохранения Мурманской области для </w:t>
      </w:r>
      <w:r w:rsidRPr="008C5A6B">
        <w:rPr>
          <w:rStyle w:val="FontStyle14"/>
          <w:b/>
          <w:sz w:val="28"/>
          <w:szCs w:val="28"/>
        </w:rPr>
        <w:t>уменьшения кадрового дефицита в отрасли, подготовки квалифицированных медицинских работников для здравоохранения региона</w:t>
      </w:r>
      <w:r w:rsidRPr="00BE108E">
        <w:rPr>
          <w:rStyle w:val="FontStyle14"/>
          <w:sz w:val="28"/>
          <w:szCs w:val="28"/>
        </w:rPr>
        <w:t xml:space="preserve"> в 2014 году заключены договоры на целевую подготовку врачей с 7 медицинскими вузами, в которых Мурманской области выделено 64 целевых места по специальностям «Лечебное дело», «Педиатрия», «Стоматология», «Фармация». Для поступления в вузы выпускникам образовательных учреждений Мурманской области выданы 115 целевых направлений, из них в число студентов зачислены </w:t>
      </w:r>
      <w:r w:rsidRPr="00BE108E">
        <w:rPr>
          <w:rStyle w:val="FontStyle14"/>
          <w:sz w:val="28"/>
          <w:szCs w:val="28"/>
        </w:rPr>
        <w:lastRenderedPageBreak/>
        <w:t>52 человека. На 28 циклах повышения квалификации было обучено 706 специалистов медицинских организаций</w:t>
      </w:r>
      <w:r w:rsidR="004B2D6E">
        <w:rPr>
          <w:rStyle w:val="FontStyle14"/>
          <w:sz w:val="28"/>
          <w:szCs w:val="28"/>
        </w:rPr>
        <w:t>.</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Разрабатывались и совершенствовались меры материальной поддержки специалистов. В </w:t>
      </w:r>
      <w:proofErr w:type="gramStart"/>
      <w:r w:rsidRPr="00BE108E">
        <w:rPr>
          <w:rStyle w:val="FontStyle14"/>
          <w:sz w:val="28"/>
          <w:szCs w:val="28"/>
        </w:rPr>
        <w:t>рамках</w:t>
      </w:r>
      <w:proofErr w:type="gramEnd"/>
      <w:r w:rsidRPr="00BE108E">
        <w:rPr>
          <w:rStyle w:val="FontStyle14"/>
          <w:sz w:val="28"/>
          <w:szCs w:val="28"/>
        </w:rPr>
        <w:t xml:space="preserve"> проекта «Земский доктор» 4 врача-специалиста в возрасте до 35 лет трудоустроились на работу в сельские населенные пункты Мурманской области и получили единовременные компенсационные выплаты в размере 1 миллиона рублей. В 2015 году данная работа будет продолжена, планируется заключить договоры с 5 врачами.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целом в 2014 году план по предоставлению мер социальной поддержки медицинским работникам выполнен примерно на 80%, что обусловлено </w:t>
      </w:r>
      <w:proofErr w:type="spellStart"/>
      <w:r w:rsidRPr="00BE108E">
        <w:rPr>
          <w:rStyle w:val="FontStyle14"/>
          <w:sz w:val="28"/>
          <w:szCs w:val="28"/>
        </w:rPr>
        <w:t>недоукомплектованностью</w:t>
      </w:r>
      <w:proofErr w:type="spellEnd"/>
      <w:r w:rsidRPr="00BE108E">
        <w:rPr>
          <w:rStyle w:val="FontStyle14"/>
          <w:sz w:val="28"/>
          <w:szCs w:val="28"/>
        </w:rPr>
        <w:t xml:space="preserve"> медицинских учреждений кадрами.</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В </w:t>
      </w:r>
      <w:proofErr w:type="gramStart"/>
      <w:r w:rsidRPr="00BE108E">
        <w:rPr>
          <w:rStyle w:val="FontStyle14"/>
          <w:sz w:val="28"/>
          <w:szCs w:val="28"/>
        </w:rPr>
        <w:t>результате</w:t>
      </w:r>
      <w:proofErr w:type="gramEnd"/>
      <w:r w:rsidRPr="00BE108E">
        <w:rPr>
          <w:rStyle w:val="FontStyle14"/>
          <w:sz w:val="28"/>
          <w:szCs w:val="28"/>
        </w:rPr>
        <w:t xml:space="preserve"> </w:t>
      </w:r>
      <w:r w:rsidRPr="008C5A6B">
        <w:rPr>
          <w:rStyle w:val="FontStyle14"/>
          <w:b/>
          <w:sz w:val="28"/>
          <w:szCs w:val="28"/>
        </w:rPr>
        <w:t>развития информатизации в здравоохранении</w:t>
      </w:r>
      <w:r w:rsidRPr="00BE108E">
        <w:rPr>
          <w:rStyle w:val="FontStyle14"/>
          <w:sz w:val="28"/>
          <w:szCs w:val="28"/>
        </w:rPr>
        <w:t xml:space="preserve"> по состоянию на 31 декабря 2014 года 100% государственных и муниципальных медицинских организаций имели локальные вычислительные сети, были оснащены выходом в сеть Интернет. Процент оснащенности информационно-технологическими технологиями рабочих мест для автоматизации лечебно-диагностического процесса составил 68,9%.</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Организован единый тематический портал «Здравоохранение Мурманской области», реализован проект «Единая регистратура Мурманской области», продолжается внедрение в учреждениях здравоохранения комплексных медицинских информационных систем с учетом создания единой электронной медицинской карты пациента. </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 2014 году внедрена единая информационная система автоматизации</w:t>
      </w:r>
      <w:r w:rsidR="00BF2C89" w:rsidRPr="00BE108E">
        <w:rPr>
          <w:rStyle w:val="FontStyle14"/>
          <w:sz w:val="28"/>
          <w:szCs w:val="28"/>
        </w:rPr>
        <w:t xml:space="preserve"> </w:t>
      </w:r>
      <w:r w:rsidRPr="00BE108E">
        <w:rPr>
          <w:rStyle w:val="FontStyle14"/>
          <w:sz w:val="28"/>
          <w:szCs w:val="28"/>
        </w:rPr>
        <w:t xml:space="preserve">льготного лекарственного обеспечения, охватывающая весь процесс от выписки до отпуска лекарственных препаратов, позволяющая получить оперативную информацию об исполнении государственных контрактов. </w:t>
      </w:r>
    </w:p>
    <w:p w:rsidR="00FF4E43" w:rsidRPr="00BE108E" w:rsidRDefault="007757A9" w:rsidP="00FF4E43">
      <w:pPr>
        <w:pStyle w:val="ConsPlusCell"/>
        <w:ind w:firstLine="709"/>
        <w:jc w:val="both"/>
        <w:rPr>
          <w:rStyle w:val="FontStyle14"/>
          <w:sz w:val="28"/>
          <w:szCs w:val="28"/>
        </w:rPr>
      </w:pPr>
      <w:r w:rsidRPr="00BE108E">
        <w:rPr>
          <w:rStyle w:val="FontStyle14"/>
          <w:sz w:val="28"/>
          <w:szCs w:val="28"/>
        </w:rPr>
        <w:t>Эффективность государственной программы за 2014 год в результате проведенной оценки в соответствии с утвержденной методикой является высокой</w:t>
      </w:r>
      <w:r>
        <w:rPr>
          <w:rStyle w:val="FontStyle14"/>
          <w:sz w:val="28"/>
          <w:szCs w:val="28"/>
        </w:rPr>
        <w:t xml:space="preserve"> (и</w:t>
      </w:r>
      <w:r w:rsidRPr="00BE108E">
        <w:rPr>
          <w:rStyle w:val="FontStyle14"/>
          <w:sz w:val="28"/>
          <w:szCs w:val="28"/>
        </w:rPr>
        <w:t>нтегральный показатель эффективности составил 97,7%</w:t>
      </w:r>
      <w:r>
        <w:rPr>
          <w:rStyle w:val="FontStyle14"/>
          <w:sz w:val="28"/>
          <w:szCs w:val="28"/>
        </w:rPr>
        <w:t>)</w:t>
      </w:r>
      <w:r w:rsidRPr="00BE108E">
        <w:rPr>
          <w:rStyle w:val="FontStyle14"/>
          <w:sz w:val="28"/>
          <w:szCs w:val="28"/>
        </w:rPr>
        <w:t>.</w:t>
      </w:r>
      <w:r>
        <w:rPr>
          <w:rStyle w:val="FontStyle14"/>
          <w:sz w:val="28"/>
          <w:szCs w:val="28"/>
        </w:rPr>
        <w:t xml:space="preserve"> Указанный результат обусловлен высокой степенью достижения плановых значений большей части показателей: из</w:t>
      </w:r>
      <w:r w:rsidR="00FF4E43" w:rsidRPr="00BE108E">
        <w:rPr>
          <w:rStyle w:val="FontStyle14"/>
          <w:sz w:val="28"/>
          <w:szCs w:val="28"/>
        </w:rPr>
        <w:t xml:space="preserve"> 126 </w:t>
      </w:r>
      <w:r w:rsidRPr="00BE108E">
        <w:rPr>
          <w:rStyle w:val="FontStyle14"/>
          <w:sz w:val="28"/>
          <w:szCs w:val="28"/>
        </w:rPr>
        <w:t>предусмотрен</w:t>
      </w:r>
      <w:r>
        <w:rPr>
          <w:rStyle w:val="FontStyle14"/>
          <w:sz w:val="28"/>
          <w:szCs w:val="28"/>
        </w:rPr>
        <w:t>н</w:t>
      </w:r>
      <w:r w:rsidRPr="00BE108E">
        <w:rPr>
          <w:rStyle w:val="FontStyle14"/>
          <w:sz w:val="28"/>
          <w:szCs w:val="28"/>
        </w:rPr>
        <w:t>ы</w:t>
      </w:r>
      <w:r>
        <w:rPr>
          <w:rStyle w:val="FontStyle14"/>
          <w:sz w:val="28"/>
          <w:szCs w:val="28"/>
        </w:rPr>
        <w:t>х</w:t>
      </w:r>
      <w:r w:rsidRPr="00BE108E">
        <w:rPr>
          <w:rStyle w:val="FontStyle14"/>
          <w:sz w:val="28"/>
          <w:szCs w:val="28"/>
        </w:rPr>
        <w:t xml:space="preserve"> к выполнению </w:t>
      </w:r>
      <w:r w:rsidR="00FF4E43" w:rsidRPr="00BE108E">
        <w:rPr>
          <w:rStyle w:val="FontStyle14"/>
          <w:sz w:val="28"/>
          <w:szCs w:val="28"/>
        </w:rPr>
        <w:t xml:space="preserve">показателей </w:t>
      </w:r>
      <w:r w:rsidRPr="00BE108E">
        <w:rPr>
          <w:rStyle w:val="FontStyle14"/>
          <w:sz w:val="28"/>
          <w:szCs w:val="28"/>
        </w:rPr>
        <w:t xml:space="preserve">высокая </w:t>
      </w:r>
      <w:r w:rsidR="00FF4E43" w:rsidRPr="00BE108E">
        <w:rPr>
          <w:rStyle w:val="FontStyle14"/>
          <w:sz w:val="28"/>
          <w:szCs w:val="28"/>
        </w:rPr>
        <w:t xml:space="preserve">степень достижения отмечается по </w:t>
      </w:r>
      <w:r w:rsidRPr="00BE108E">
        <w:rPr>
          <w:rStyle w:val="FontStyle14"/>
          <w:sz w:val="28"/>
          <w:szCs w:val="28"/>
        </w:rPr>
        <w:t>95</w:t>
      </w:r>
      <w:r w:rsidR="00FB55D1">
        <w:rPr>
          <w:rStyle w:val="FontStyle14"/>
          <w:sz w:val="28"/>
          <w:szCs w:val="28"/>
        </w:rPr>
        <w:t>.</w:t>
      </w:r>
      <w:r>
        <w:rPr>
          <w:rStyle w:val="FontStyle14"/>
          <w:sz w:val="28"/>
          <w:szCs w:val="28"/>
        </w:rPr>
        <w:t xml:space="preserve"> </w:t>
      </w:r>
      <w:r w:rsidR="00FB55D1">
        <w:rPr>
          <w:rStyle w:val="FontStyle14"/>
          <w:sz w:val="28"/>
          <w:szCs w:val="28"/>
        </w:rPr>
        <w:t>И</w:t>
      </w:r>
      <w:r>
        <w:rPr>
          <w:rStyle w:val="FontStyle14"/>
          <w:sz w:val="28"/>
          <w:szCs w:val="28"/>
        </w:rPr>
        <w:t>з 1</w:t>
      </w:r>
      <w:r w:rsidR="00FB55D1">
        <w:rPr>
          <w:rStyle w:val="FontStyle14"/>
          <w:sz w:val="28"/>
          <w:szCs w:val="28"/>
        </w:rPr>
        <w:t>9</w:t>
      </w:r>
      <w:r>
        <w:rPr>
          <w:rStyle w:val="FontStyle14"/>
          <w:sz w:val="28"/>
          <w:szCs w:val="28"/>
        </w:rPr>
        <w:t xml:space="preserve"> показателей цели государственной программы</w:t>
      </w:r>
      <w:r w:rsidR="00FB55D1">
        <w:rPr>
          <w:rStyle w:val="FontStyle14"/>
          <w:sz w:val="28"/>
          <w:szCs w:val="28"/>
        </w:rPr>
        <w:t xml:space="preserve"> 12</w:t>
      </w:r>
      <w:r>
        <w:rPr>
          <w:rStyle w:val="FontStyle14"/>
          <w:sz w:val="28"/>
          <w:szCs w:val="28"/>
        </w:rPr>
        <w:t xml:space="preserve"> </w:t>
      </w:r>
      <w:r w:rsidR="00FB55D1">
        <w:rPr>
          <w:rStyle w:val="FontStyle14"/>
          <w:sz w:val="28"/>
          <w:szCs w:val="28"/>
        </w:rPr>
        <w:t>выполнены или</w:t>
      </w:r>
      <w:r w:rsidR="00FB55D1" w:rsidRPr="00BE108E">
        <w:rPr>
          <w:rStyle w:val="FontStyle14"/>
          <w:sz w:val="28"/>
          <w:szCs w:val="28"/>
        </w:rPr>
        <w:t xml:space="preserve"> перевыполнены</w:t>
      </w:r>
      <w:r w:rsidR="00FB55D1">
        <w:rPr>
          <w:rStyle w:val="FontStyle14"/>
          <w:sz w:val="28"/>
          <w:szCs w:val="28"/>
        </w:rPr>
        <w:t>, в том числе</w:t>
      </w:r>
      <w:r w:rsidR="00FB55D1" w:rsidRPr="00BE108E">
        <w:rPr>
          <w:rStyle w:val="FontStyle14"/>
          <w:sz w:val="28"/>
          <w:szCs w:val="28"/>
        </w:rPr>
        <w:t xml:space="preserve"> показатели по заработной плате работников медицинских организаций</w:t>
      </w:r>
      <w:r w:rsidR="00FB55D1">
        <w:rPr>
          <w:rStyle w:val="FontStyle14"/>
          <w:sz w:val="28"/>
          <w:szCs w:val="28"/>
        </w:rPr>
        <w:t xml:space="preserve">, установленные в </w:t>
      </w:r>
      <w:r w:rsidR="00FB55D1" w:rsidRPr="00FB55D1">
        <w:rPr>
          <w:rStyle w:val="FontStyle14"/>
          <w:sz w:val="28"/>
          <w:szCs w:val="28"/>
        </w:rPr>
        <w:t>Указ</w:t>
      </w:r>
      <w:r w:rsidR="00FB55D1">
        <w:rPr>
          <w:rStyle w:val="FontStyle14"/>
          <w:sz w:val="28"/>
          <w:szCs w:val="28"/>
        </w:rPr>
        <w:t>е</w:t>
      </w:r>
      <w:r w:rsidR="00FB55D1" w:rsidRPr="00FB55D1">
        <w:rPr>
          <w:rStyle w:val="FontStyle14"/>
          <w:sz w:val="28"/>
          <w:szCs w:val="28"/>
        </w:rPr>
        <w:t xml:space="preserve"> Президента РФ от 7 мая 2012 г. № 597</w:t>
      </w:r>
      <w:r w:rsidR="00FB55D1">
        <w:rPr>
          <w:rStyle w:val="FontStyle14"/>
          <w:sz w:val="28"/>
          <w:szCs w:val="28"/>
        </w:rPr>
        <w:t>. С</w:t>
      </w:r>
      <w:r w:rsidR="00FF4E43" w:rsidRPr="00BE108E">
        <w:rPr>
          <w:rStyle w:val="FontStyle14"/>
          <w:sz w:val="28"/>
          <w:szCs w:val="28"/>
        </w:rPr>
        <w:t xml:space="preserve">редняя степень достижения показателей государственной программы </w:t>
      </w:r>
      <w:r>
        <w:rPr>
          <w:rStyle w:val="FontStyle14"/>
          <w:sz w:val="28"/>
          <w:szCs w:val="28"/>
        </w:rPr>
        <w:t>составила</w:t>
      </w:r>
      <w:r w:rsidR="00FF4E43" w:rsidRPr="00BE108E">
        <w:rPr>
          <w:rStyle w:val="FontStyle14"/>
          <w:sz w:val="28"/>
          <w:szCs w:val="28"/>
        </w:rPr>
        <w:t xml:space="preserve"> 101,</w:t>
      </w:r>
      <w:r w:rsidR="00F86BFD">
        <w:rPr>
          <w:rStyle w:val="FontStyle14"/>
          <w:sz w:val="28"/>
          <w:szCs w:val="28"/>
        </w:rPr>
        <w:t>5</w:t>
      </w:r>
      <w:r w:rsidR="00FF4E43" w:rsidRPr="00BE108E">
        <w:rPr>
          <w:rStyle w:val="FontStyle14"/>
          <w:sz w:val="28"/>
          <w:szCs w:val="28"/>
        </w:rPr>
        <w:t>%</w:t>
      </w:r>
      <w:r w:rsidRPr="00BE108E">
        <w:rPr>
          <w:rStyle w:val="FontStyle14"/>
          <w:sz w:val="28"/>
          <w:szCs w:val="28"/>
        </w:rPr>
        <w:t>.</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w:t>
      </w:r>
      <w:r w:rsidR="007757A9">
        <w:rPr>
          <w:rStyle w:val="FontStyle14"/>
          <w:sz w:val="28"/>
          <w:szCs w:val="28"/>
        </w:rPr>
        <w:t xml:space="preserve"> то же время в</w:t>
      </w:r>
      <w:r w:rsidRPr="00BE108E">
        <w:rPr>
          <w:rStyle w:val="FontStyle14"/>
          <w:sz w:val="28"/>
          <w:szCs w:val="28"/>
        </w:rPr>
        <w:t xml:space="preserve"> 2014 году не удалось сохранить тенденцию снижения смертности и увеличения продолжительности жизни населения, сформировавшуюся на протяжении ряда последних лет. Коэффициент смертности населения от всех причин составил 11,4 умерших на 1000 населения, что выше значения 2013 года на 3,6</w:t>
      </w:r>
      <w:r w:rsidR="00BF2C89" w:rsidRPr="00BE108E">
        <w:rPr>
          <w:rStyle w:val="FontStyle14"/>
          <w:sz w:val="28"/>
          <w:szCs w:val="28"/>
        </w:rPr>
        <w:t>%</w:t>
      </w:r>
      <w:r w:rsidRPr="00BE108E">
        <w:rPr>
          <w:rStyle w:val="FontStyle14"/>
          <w:sz w:val="28"/>
          <w:szCs w:val="28"/>
        </w:rPr>
        <w:t>.</w:t>
      </w:r>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 xml:space="preserve">Увеличение числа умерших (без учета умерших от внешних причин) на 179 человек обусловлено ростом числа умерших от болезней системы кровообращения на 85 случаев, от болезней органов пищеварения – на 16 случаев, от некоторых инфекционных и паразитарных болезней – на 10 случаев, </w:t>
      </w:r>
      <w:r w:rsidRPr="00BE108E">
        <w:rPr>
          <w:rStyle w:val="FontStyle14"/>
          <w:sz w:val="28"/>
          <w:szCs w:val="28"/>
        </w:rPr>
        <w:lastRenderedPageBreak/>
        <w:t xml:space="preserve">от прочих болезней – на 68 случаев. При этом отмечено снижение числа умерших от болезней органов дыхания (на 51 случай), цереброваскулярных болезней (на 38 случаев). </w:t>
      </w:r>
    </w:p>
    <w:p w:rsidR="00FF4E43" w:rsidRPr="00BE108E" w:rsidRDefault="00FF4E43" w:rsidP="00FF4E43">
      <w:pPr>
        <w:pStyle w:val="ConsPlusCell"/>
        <w:ind w:firstLine="709"/>
        <w:jc w:val="both"/>
        <w:rPr>
          <w:rStyle w:val="FontStyle14"/>
          <w:sz w:val="28"/>
          <w:szCs w:val="28"/>
        </w:rPr>
      </w:pPr>
      <w:proofErr w:type="gramStart"/>
      <w:r w:rsidRPr="00BE108E">
        <w:rPr>
          <w:rStyle w:val="FontStyle14"/>
          <w:sz w:val="28"/>
          <w:szCs w:val="28"/>
        </w:rPr>
        <w:t>В 2014 году в Мурманской области наблюдался рост смертности от внешних причин на 19,2% (увеличение на 134 случая), в т.ч. самоубийств на 45,3% (увеличение на 22 случая), всех видов транспортных несчастных случаев на 55,8% (увеличение на 36 случаев), случайного отравления алкоголем на 5,6% (увеличение на 1 случай).</w:t>
      </w:r>
      <w:proofErr w:type="gramEnd"/>
    </w:p>
    <w:p w:rsidR="00FF4E43" w:rsidRPr="00BE108E" w:rsidRDefault="00FF4E43" w:rsidP="00FF4E43">
      <w:pPr>
        <w:pStyle w:val="ConsPlusCell"/>
        <w:ind w:firstLine="709"/>
        <w:jc w:val="both"/>
        <w:rPr>
          <w:rStyle w:val="FontStyle14"/>
          <w:sz w:val="28"/>
          <w:szCs w:val="28"/>
        </w:rPr>
      </w:pPr>
      <w:r w:rsidRPr="00BE108E">
        <w:rPr>
          <w:rStyle w:val="FontStyle14"/>
          <w:sz w:val="28"/>
          <w:szCs w:val="28"/>
        </w:rPr>
        <w:t>В связи с этим ожидаемая продолжительность жизни при рождении снизилась с 70,46 лет в 2013 году до 69,98 лет в 2014 году.</w:t>
      </w:r>
    </w:p>
    <w:p w:rsidR="00096B18" w:rsidRPr="00BE108E" w:rsidRDefault="00096B18" w:rsidP="00FF4E43">
      <w:pPr>
        <w:pStyle w:val="ConsPlusCell"/>
        <w:ind w:firstLine="709"/>
        <w:jc w:val="both"/>
        <w:rPr>
          <w:rStyle w:val="FontStyle14"/>
          <w:sz w:val="28"/>
          <w:szCs w:val="28"/>
        </w:rPr>
      </w:pPr>
    </w:p>
    <w:p w:rsidR="009C7FE5" w:rsidRDefault="009C7FE5" w:rsidP="00D064E3"/>
    <w:p w:rsidR="00FF4E43" w:rsidRPr="00BE108E" w:rsidRDefault="00FF4E43" w:rsidP="00B93BB7">
      <w:pPr>
        <w:pStyle w:val="1"/>
      </w:pPr>
      <w:r w:rsidRPr="00BE108E">
        <w:t>Государственная программа 2 «Развитие образования»</w:t>
      </w:r>
    </w:p>
    <w:p w:rsidR="004B2D6E" w:rsidRPr="00BE108E" w:rsidRDefault="004B2D6E" w:rsidP="004B2D6E">
      <w:pPr>
        <w:pStyle w:val="ConsPlusCell"/>
        <w:ind w:firstLine="709"/>
        <w:jc w:val="both"/>
        <w:rPr>
          <w:rStyle w:val="FontStyle14"/>
          <w:sz w:val="28"/>
          <w:szCs w:val="28"/>
        </w:rPr>
      </w:pPr>
    </w:p>
    <w:p w:rsidR="00FF4E43" w:rsidRPr="00BE108E" w:rsidRDefault="004B2D6E" w:rsidP="004B2D6E">
      <w:pPr>
        <w:widowControl w:val="0"/>
        <w:autoSpaceDE w:val="0"/>
        <w:autoSpaceDN w:val="0"/>
        <w:adjustRightInd w:val="0"/>
        <w:ind w:firstLine="0"/>
        <w:rPr>
          <w:rFonts w:cs="Times New Roman"/>
          <w:szCs w:val="28"/>
        </w:rPr>
      </w:pPr>
      <w:r w:rsidRPr="00BE108E">
        <w:rPr>
          <w:noProof/>
        </w:rPr>
        <w:drawing>
          <wp:inline distT="0" distB="0" distL="0" distR="0">
            <wp:extent cx="2551814" cy="2998381"/>
            <wp:effectExtent l="0" t="0" r="20320" b="1206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rFonts w:cs="Times New Roman"/>
          <w:szCs w:val="28"/>
        </w:rPr>
        <w:t xml:space="preserve"> </w:t>
      </w:r>
      <w:r w:rsidRPr="00BE108E">
        <w:rPr>
          <w:noProof/>
        </w:rPr>
        <w:drawing>
          <wp:inline distT="0" distB="0" distL="0" distR="0">
            <wp:extent cx="3434317" cy="2998381"/>
            <wp:effectExtent l="0" t="0" r="13970" b="1206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B2D6E" w:rsidRDefault="00C13F31" w:rsidP="00C13F31">
      <w:pPr>
        <w:ind w:firstLine="0"/>
        <w:jc w:val="center"/>
        <w:rPr>
          <w:sz w:val="24"/>
        </w:rPr>
      </w:pPr>
      <w:r w:rsidRPr="00C13F31">
        <w:rPr>
          <w:sz w:val="24"/>
        </w:rPr>
        <w:t>Рисунок 6</w:t>
      </w:r>
    </w:p>
    <w:p w:rsidR="00C13F31" w:rsidRPr="00C13F31" w:rsidRDefault="00C13F31" w:rsidP="00C13F31">
      <w:pPr>
        <w:ind w:firstLine="0"/>
        <w:jc w:val="center"/>
        <w:rPr>
          <w:sz w:val="24"/>
        </w:rPr>
      </w:pPr>
    </w:p>
    <w:p w:rsidR="00FF4E43" w:rsidRPr="00BE108E" w:rsidRDefault="00FF4E43" w:rsidP="00E53558">
      <w:pPr>
        <w:rPr>
          <w:rFonts w:cs="Times New Roman"/>
        </w:rPr>
      </w:pPr>
      <w:r w:rsidRPr="00BE108E">
        <w:t xml:space="preserve">По состоянию </w:t>
      </w:r>
      <w:proofErr w:type="gramStart"/>
      <w:r w:rsidRPr="00BE108E">
        <w:t>на конец</w:t>
      </w:r>
      <w:proofErr w:type="gramEnd"/>
      <w:r w:rsidRPr="00BE108E">
        <w:t xml:space="preserve"> 2014 года общий объем финансирования, запланированный на реализацию государственной программы, составил 13 080,5 млн. рублей</w:t>
      </w:r>
      <w:r w:rsidR="004B2D6E">
        <w:t xml:space="preserve">. </w:t>
      </w:r>
      <w:r w:rsidRPr="00BE108E">
        <w:rPr>
          <w:rFonts w:cs="Times New Roman"/>
        </w:rPr>
        <w:t xml:space="preserve">Суммарные фактические расходы на реализацию программы в 2014 году составили 12 851,7 млн. рублей – 98,3% от планового объема, в том числе за счет средств </w:t>
      </w:r>
      <w:r w:rsidRPr="00BE108E">
        <w:rPr>
          <w:rFonts w:cs="Times New Roman"/>
          <w:szCs w:val="24"/>
        </w:rPr>
        <w:t>областного бюджета 12 258,6 млн. рублей (99,1%), федерального бюджета 447,1 млн. рублей (99,7%), местных бюджетов 146 млн. рублей (55%).</w:t>
      </w:r>
    </w:p>
    <w:p w:rsidR="00FF4E43" w:rsidRPr="00BE108E" w:rsidRDefault="00FF4E43" w:rsidP="00E53558">
      <w:pPr>
        <w:rPr>
          <w:rFonts w:cs="Times New Roman"/>
        </w:rPr>
      </w:pPr>
      <w:r w:rsidRPr="00BE108E">
        <w:rPr>
          <w:rFonts w:cs="Times New Roman"/>
        </w:rPr>
        <w:t>Низкая степень освоения средств местных бюджетов сложилась по нескольким мероприятиям по строительству и реконструкции детских садов, работы на которых ведутся с отставанием от графика производства работ.</w:t>
      </w:r>
    </w:p>
    <w:p w:rsidR="00FF4E43" w:rsidRPr="00BE108E" w:rsidRDefault="00FF4E43" w:rsidP="00E53558">
      <w:pPr>
        <w:rPr>
          <w:rFonts w:cs="Times New Roman"/>
          <w:color w:val="000000"/>
        </w:rPr>
      </w:pPr>
      <w:proofErr w:type="gramStart"/>
      <w:r w:rsidRPr="00BE108E">
        <w:rPr>
          <w:rFonts w:cs="Times New Roman"/>
        </w:rPr>
        <w:t xml:space="preserve">В целях </w:t>
      </w:r>
      <w:r w:rsidRPr="00BE108E">
        <w:rPr>
          <w:rFonts w:cs="Times New Roman"/>
          <w:b/>
        </w:rPr>
        <w:t>обеспечения подготовки востребованных кадров для экономики региона</w:t>
      </w:r>
      <w:r w:rsidRPr="00BE108E">
        <w:rPr>
          <w:rFonts w:cs="Times New Roman"/>
        </w:rPr>
        <w:t xml:space="preserve"> созданы условия для получения общедоступного среднего профессионального образования в 18 государственных областных профессиональных образовательных организациях по 89 образовательным </w:t>
      </w:r>
      <w:r w:rsidRPr="00BE108E">
        <w:rPr>
          <w:rFonts w:cs="Times New Roman"/>
        </w:rPr>
        <w:lastRenderedPageBreak/>
        <w:t>программам.</w:t>
      </w:r>
      <w:proofErr w:type="gramEnd"/>
      <w:r w:rsidRPr="00BE108E">
        <w:rPr>
          <w:rFonts w:cs="Times New Roman"/>
        </w:rPr>
        <w:t xml:space="preserve"> Контингент обучающихся по сравнению с 2013 годом увеличился на 2,7% и </w:t>
      </w:r>
      <w:r w:rsidR="00C13F31">
        <w:rPr>
          <w:rFonts w:cs="Times New Roman"/>
        </w:rPr>
        <w:t>составил более 11 тысяч человек.</w:t>
      </w:r>
    </w:p>
    <w:p w:rsidR="00FF4E43" w:rsidRPr="00BE108E" w:rsidRDefault="00FF4E43" w:rsidP="00E53558">
      <w:pPr>
        <w:rPr>
          <w:rFonts w:cs="Times New Roman"/>
        </w:rPr>
      </w:pPr>
      <w:r w:rsidRPr="00BE108E">
        <w:rPr>
          <w:rFonts w:cs="Times New Roman"/>
        </w:rPr>
        <w:t xml:space="preserve">В </w:t>
      </w:r>
      <w:proofErr w:type="gramStart"/>
      <w:r w:rsidRPr="00BE108E">
        <w:rPr>
          <w:rFonts w:cs="Times New Roman"/>
        </w:rPr>
        <w:t>регионе</w:t>
      </w:r>
      <w:proofErr w:type="gramEnd"/>
      <w:r w:rsidRPr="00BE108E">
        <w:rPr>
          <w:rFonts w:cs="Times New Roman"/>
        </w:rPr>
        <w:t xml:space="preserve"> создается современная инфраструктура среднего профессионального образования – сеть многофункциональных центров прикладных квалификаций и ресурсных центров.</w:t>
      </w:r>
    </w:p>
    <w:p w:rsidR="00FF4E43" w:rsidRPr="00BE108E" w:rsidRDefault="00FF4E43" w:rsidP="00E53558">
      <w:pPr>
        <w:rPr>
          <w:rFonts w:cs="Times New Roman"/>
        </w:rPr>
      </w:pPr>
      <w:r w:rsidRPr="00BE108E">
        <w:rPr>
          <w:rFonts w:cs="Times New Roman"/>
        </w:rPr>
        <w:t>Обеспечено функционирование регионального портала профориентации (профориентация51.рф), одной из главных целей которого является помощь в выборе профессии и построении карьеры в соответствии с личными интересами и потребностями регионального рынка труда.</w:t>
      </w:r>
    </w:p>
    <w:p w:rsidR="00FF4E43" w:rsidRPr="00BE108E" w:rsidRDefault="00FF4E43" w:rsidP="00E53558">
      <w:pPr>
        <w:rPr>
          <w:rFonts w:cs="Times New Roman"/>
        </w:rPr>
      </w:pPr>
      <w:r w:rsidRPr="00BE108E">
        <w:rPr>
          <w:rFonts w:cs="Times New Roman"/>
        </w:rPr>
        <w:t xml:space="preserve">В </w:t>
      </w:r>
      <w:proofErr w:type="gramStart"/>
      <w:r w:rsidRPr="00BE108E">
        <w:rPr>
          <w:rFonts w:cs="Times New Roman"/>
        </w:rPr>
        <w:t>результате</w:t>
      </w:r>
      <w:proofErr w:type="gramEnd"/>
      <w:r w:rsidRPr="00BE108E">
        <w:rPr>
          <w:rFonts w:cs="Times New Roman"/>
        </w:rPr>
        <w:t xml:space="preserve"> реализованных мероприятий почти на 3</w:t>
      </w:r>
      <w:r w:rsidR="00C13F31">
        <w:rPr>
          <w:rFonts w:cs="Times New Roman"/>
        </w:rPr>
        <w:t xml:space="preserve"> п.п.</w:t>
      </w:r>
      <w:r w:rsidRPr="00BE108E">
        <w:rPr>
          <w:rFonts w:cs="Times New Roman"/>
        </w:rPr>
        <w:t xml:space="preserve"> увеличилась доля выпускников профессиональных образовательных организаций, трудоустроившихся в течение 1 года после окончания обучения по полученной специальности, и составил</w:t>
      </w:r>
      <w:r w:rsidR="00C13F31">
        <w:rPr>
          <w:rFonts w:cs="Times New Roman"/>
        </w:rPr>
        <w:t>а</w:t>
      </w:r>
      <w:r w:rsidRPr="00BE108E">
        <w:rPr>
          <w:rFonts w:cs="Times New Roman"/>
        </w:rPr>
        <w:t xml:space="preserve"> 46,9%.</w:t>
      </w:r>
    </w:p>
    <w:p w:rsidR="00FF4E43" w:rsidRPr="00BE108E" w:rsidRDefault="00FF4E43" w:rsidP="00E53558">
      <w:pPr>
        <w:rPr>
          <w:rFonts w:eastAsia="HiddenHorzOCR" w:cs="Times New Roman"/>
        </w:rPr>
      </w:pPr>
      <w:r w:rsidRPr="00BE108E">
        <w:rPr>
          <w:rFonts w:cs="Times New Roman"/>
          <w:b/>
        </w:rPr>
        <w:t>Д</w:t>
      </w:r>
      <w:r w:rsidRPr="00BE108E">
        <w:rPr>
          <w:rFonts w:eastAsia="HiddenHorzOCR" w:cs="Times New Roman"/>
          <w:b/>
        </w:rPr>
        <w:t>ошкольным образованием</w:t>
      </w:r>
      <w:r w:rsidRPr="00BE108E">
        <w:rPr>
          <w:rFonts w:eastAsia="HiddenHorzOCR" w:cs="Times New Roman"/>
        </w:rPr>
        <w:t xml:space="preserve"> </w:t>
      </w:r>
      <w:r w:rsidRPr="00BE108E">
        <w:rPr>
          <w:rFonts w:cs="Times New Roman"/>
        </w:rPr>
        <w:t xml:space="preserve">в регионе </w:t>
      </w:r>
      <w:r w:rsidRPr="00BE108E">
        <w:rPr>
          <w:rFonts w:eastAsia="HiddenHorzOCR" w:cs="Times New Roman"/>
        </w:rPr>
        <w:t>охвачено 45,8 тысяч детей дошкольного</w:t>
      </w:r>
      <w:r w:rsidR="00C13F31">
        <w:rPr>
          <w:rFonts w:eastAsia="HiddenHorzOCR" w:cs="Times New Roman"/>
        </w:rPr>
        <w:t xml:space="preserve"> возраста, что составляет 83,2%</w:t>
      </w:r>
      <w:r w:rsidRPr="00BE108E">
        <w:rPr>
          <w:rFonts w:eastAsia="HiddenHorzOCR" w:cs="Times New Roman"/>
        </w:rPr>
        <w:t xml:space="preserve"> (в 2013 году </w:t>
      </w:r>
      <w:r w:rsidRPr="00BE108E">
        <w:rPr>
          <w:rFonts w:cs="Times New Roman"/>
        </w:rPr>
        <w:t>–</w:t>
      </w:r>
      <w:r w:rsidRPr="00BE108E">
        <w:rPr>
          <w:rFonts w:eastAsia="HiddenHorzOCR" w:cs="Times New Roman"/>
        </w:rPr>
        <w:t xml:space="preserve"> 82,8%). Введение 972 дополнительных мест в рамках реализации проекта модернизации региональной системы дошкольного образования в 2014 году позволило сократить очередность в детских садах на 60% (с 1079 до 437 человек). </w:t>
      </w:r>
    </w:p>
    <w:p w:rsidR="00FF4E43" w:rsidRPr="00BE108E" w:rsidRDefault="00FF4E43" w:rsidP="00E53558">
      <w:pPr>
        <w:rPr>
          <w:rFonts w:cs="Times New Roman"/>
          <w:i/>
        </w:rPr>
      </w:pPr>
      <w:r w:rsidRPr="00BE108E">
        <w:rPr>
          <w:rFonts w:eastAsia="HiddenHorzOCR" w:cs="Times New Roman"/>
        </w:rPr>
        <w:t xml:space="preserve">Несмотря на высокие показатели охвата детей дошкольным образованием, </w:t>
      </w:r>
      <w:proofErr w:type="gramStart"/>
      <w:r w:rsidRPr="00BE108E">
        <w:rPr>
          <w:rFonts w:eastAsia="HiddenHorzOCR" w:cs="Times New Roman"/>
        </w:rPr>
        <w:t>в</w:t>
      </w:r>
      <w:proofErr w:type="gramEnd"/>
      <w:r w:rsidRPr="00BE108E">
        <w:rPr>
          <w:rFonts w:eastAsia="HiddenHorzOCR" w:cs="Times New Roman"/>
        </w:rPr>
        <w:t xml:space="preserve"> ЗАТО Александровск, г. Мурманске, ЗАТО Североморск сохраняется очередность </w:t>
      </w:r>
      <w:r w:rsidRPr="00BE108E">
        <w:rPr>
          <w:rFonts w:cs="Times New Roman"/>
        </w:rPr>
        <w:t>на предоставление мест в детских садах</w:t>
      </w:r>
      <w:r w:rsidRPr="00BE108E">
        <w:rPr>
          <w:rFonts w:eastAsia="HiddenHorzOCR" w:cs="Times New Roman"/>
        </w:rPr>
        <w:t xml:space="preserve"> среди детей в возрасте от года до трех лет</w:t>
      </w:r>
      <w:r w:rsidRPr="00BE108E">
        <w:rPr>
          <w:rFonts w:cs="Times New Roman"/>
        </w:rPr>
        <w:t xml:space="preserve">, в </w:t>
      </w:r>
      <w:r w:rsidRPr="00BE108E">
        <w:rPr>
          <w:rFonts w:eastAsia="HiddenHorzOCR" w:cs="Times New Roman"/>
        </w:rPr>
        <w:t>ЗАТО Александровск, г. Мурманск наблюдается превышение предельной наполняемости групп в количестве 1470 человек.</w:t>
      </w:r>
    </w:p>
    <w:p w:rsidR="00FF4E43" w:rsidRPr="00BE108E" w:rsidRDefault="00FF4E43" w:rsidP="00E53558">
      <w:pPr>
        <w:rPr>
          <w:rFonts w:cs="Times New Roman"/>
        </w:rPr>
      </w:pPr>
      <w:r w:rsidRPr="00BE108E">
        <w:rPr>
          <w:rFonts w:cs="Times New Roman"/>
        </w:rPr>
        <w:t>Вопросы доступности образования для детей в возрасте от 3 до 7 лет в Мурманской области решаются при дальнейшем развитии групп компенсирующей направленности для детей с ограниченными возможностями здоровья и групп для детей в возрасте до 3 лет.</w:t>
      </w:r>
    </w:p>
    <w:p w:rsidR="00FF4E43" w:rsidRPr="00BE108E" w:rsidRDefault="00FF4E43" w:rsidP="00E53558">
      <w:pPr>
        <w:rPr>
          <w:rStyle w:val="default005f005fchar1char1"/>
          <w:sz w:val="28"/>
          <w:szCs w:val="28"/>
        </w:rPr>
      </w:pPr>
      <w:r w:rsidRPr="00BE108E">
        <w:rPr>
          <w:rFonts w:cs="Times New Roman"/>
        </w:rPr>
        <w:t xml:space="preserve">Две трети дошкольных образовательных организаций приступили к введению </w:t>
      </w:r>
      <w:r w:rsidRPr="00BE108E">
        <w:rPr>
          <w:rStyle w:val="ab"/>
          <w:rFonts w:cs="Times New Roman"/>
          <w:b w:val="0"/>
          <w:color w:val="000000"/>
          <w:szCs w:val="28"/>
        </w:rPr>
        <w:t xml:space="preserve">Федерального государственного образовательного стандарта дошкольного образования, формирующего новые принципы образования дошкольников. </w:t>
      </w:r>
    </w:p>
    <w:p w:rsidR="00FF4E43" w:rsidRPr="00BE108E" w:rsidRDefault="00FF4E43" w:rsidP="00E53558">
      <w:pPr>
        <w:rPr>
          <w:rStyle w:val="c1"/>
          <w:szCs w:val="28"/>
        </w:rPr>
      </w:pPr>
      <w:r w:rsidRPr="00BE108E">
        <w:rPr>
          <w:rStyle w:val="c1"/>
          <w:szCs w:val="28"/>
        </w:rPr>
        <w:t xml:space="preserve">В проводимом </w:t>
      </w:r>
      <w:proofErr w:type="spellStart"/>
      <w:r w:rsidRPr="00BE108E">
        <w:rPr>
          <w:rStyle w:val="c1"/>
          <w:szCs w:val="28"/>
        </w:rPr>
        <w:t>Минобрнауки</w:t>
      </w:r>
      <w:proofErr w:type="spellEnd"/>
      <w:r w:rsidRPr="00BE108E">
        <w:rPr>
          <w:rStyle w:val="c1"/>
          <w:szCs w:val="28"/>
        </w:rPr>
        <w:t xml:space="preserve"> </w:t>
      </w:r>
      <w:r w:rsidR="00E53558">
        <w:rPr>
          <w:rStyle w:val="c1"/>
          <w:szCs w:val="28"/>
        </w:rPr>
        <w:t>России</w:t>
      </w:r>
      <w:r w:rsidRPr="00BE108E">
        <w:rPr>
          <w:rStyle w:val="c1"/>
          <w:szCs w:val="28"/>
        </w:rPr>
        <w:t xml:space="preserve"> конкурсе среди субъектов и муниципальных образований России по выявлению и распространению лучших моделей дошкольного образования, комитет по образованию администрации города Оленегорска и детский сад № 9 комбинированного вида «Бер</w:t>
      </w:r>
      <w:r w:rsidR="00265124" w:rsidRPr="00BE108E">
        <w:rPr>
          <w:rStyle w:val="c1"/>
          <w:szCs w:val="28"/>
        </w:rPr>
        <w:t>е</w:t>
      </w:r>
      <w:r w:rsidRPr="00BE108E">
        <w:rPr>
          <w:rStyle w:val="c1"/>
          <w:szCs w:val="28"/>
        </w:rPr>
        <w:t>зка» ЗАТО Александровск, г. Снежногорск стали победителями в 2-х номинациях.</w:t>
      </w:r>
    </w:p>
    <w:p w:rsidR="00FF4E43" w:rsidRPr="00BE108E" w:rsidRDefault="00FF4E43" w:rsidP="00E53558">
      <w:pPr>
        <w:rPr>
          <w:rFonts w:cs="Times New Roman"/>
        </w:rPr>
      </w:pPr>
      <w:r w:rsidRPr="00BE108E">
        <w:rPr>
          <w:rFonts w:cs="Times New Roman"/>
        </w:rPr>
        <w:t xml:space="preserve">В </w:t>
      </w:r>
      <w:proofErr w:type="gramStart"/>
      <w:r w:rsidRPr="00BE108E">
        <w:rPr>
          <w:rFonts w:cs="Times New Roman"/>
        </w:rPr>
        <w:t>целях</w:t>
      </w:r>
      <w:proofErr w:type="gramEnd"/>
      <w:r w:rsidRPr="00BE108E">
        <w:rPr>
          <w:rFonts w:cs="Times New Roman"/>
        </w:rPr>
        <w:t xml:space="preserve"> </w:t>
      </w:r>
      <w:r w:rsidRPr="00BE108E">
        <w:rPr>
          <w:rFonts w:cs="Times New Roman"/>
          <w:b/>
        </w:rPr>
        <w:t>повышения качества общего образования</w:t>
      </w:r>
      <w:r w:rsidRPr="00BE108E">
        <w:rPr>
          <w:rFonts w:cs="Times New Roman"/>
        </w:rPr>
        <w:t xml:space="preserve"> в 2014 году завершен переход на </w:t>
      </w:r>
      <w:r w:rsidRPr="00BE108E">
        <w:rPr>
          <w:rStyle w:val="ab"/>
          <w:rFonts w:cs="Times New Roman"/>
          <w:b w:val="0"/>
          <w:color w:val="000000"/>
          <w:szCs w:val="28"/>
        </w:rPr>
        <w:t>Федеральн</w:t>
      </w:r>
      <w:r w:rsidR="00E53558">
        <w:rPr>
          <w:rStyle w:val="ab"/>
          <w:rFonts w:cs="Times New Roman"/>
          <w:b w:val="0"/>
          <w:color w:val="000000"/>
          <w:szCs w:val="28"/>
        </w:rPr>
        <w:t>ый</w:t>
      </w:r>
      <w:r w:rsidRPr="00BE108E">
        <w:rPr>
          <w:rStyle w:val="ab"/>
          <w:rFonts w:cs="Times New Roman"/>
          <w:b w:val="0"/>
          <w:color w:val="000000"/>
          <w:szCs w:val="28"/>
        </w:rPr>
        <w:t xml:space="preserve"> государственн</w:t>
      </w:r>
      <w:r w:rsidR="00E53558">
        <w:rPr>
          <w:rStyle w:val="ab"/>
          <w:rFonts w:cs="Times New Roman"/>
          <w:b w:val="0"/>
          <w:color w:val="000000"/>
          <w:szCs w:val="28"/>
        </w:rPr>
        <w:t>ый</w:t>
      </w:r>
      <w:r w:rsidRPr="00BE108E">
        <w:rPr>
          <w:rStyle w:val="ab"/>
          <w:rFonts w:cs="Times New Roman"/>
          <w:b w:val="0"/>
          <w:color w:val="000000"/>
          <w:szCs w:val="28"/>
        </w:rPr>
        <w:t xml:space="preserve"> образовательн</w:t>
      </w:r>
      <w:r w:rsidR="00E53558">
        <w:rPr>
          <w:rStyle w:val="ab"/>
          <w:rFonts w:cs="Times New Roman"/>
          <w:b w:val="0"/>
          <w:color w:val="000000"/>
          <w:szCs w:val="28"/>
        </w:rPr>
        <w:t>ый</w:t>
      </w:r>
      <w:r w:rsidRPr="00BE108E">
        <w:rPr>
          <w:rStyle w:val="ab"/>
          <w:rFonts w:cs="Times New Roman"/>
          <w:b w:val="0"/>
          <w:color w:val="000000"/>
          <w:szCs w:val="28"/>
        </w:rPr>
        <w:t xml:space="preserve"> стандарт</w:t>
      </w:r>
      <w:r w:rsidRPr="00BE108E">
        <w:rPr>
          <w:rFonts w:cs="Times New Roman"/>
        </w:rPr>
        <w:t xml:space="preserve"> начального общего образования, начата реализация стандарта основного общего образования в пятых классах на базе 67 школ региона. </w:t>
      </w:r>
    </w:p>
    <w:p w:rsidR="00FF4E43" w:rsidRPr="00BE108E" w:rsidRDefault="00FF4E43" w:rsidP="00E53558">
      <w:pPr>
        <w:rPr>
          <w:rFonts w:cs="Times New Roman"/>
        </w:rPr>
      </w:pPr>
      <w:proofErr w:type="gramStart"/>
      <w:r w:rsidRPr="00BE108E">
        <w:rPr>
          <w:rFonts w:cs="Times New Roman"/>
        </w:rPr>
        <w:t xml:space="preserve">В экспериментальном режиме осуществляется переход на новые ФГОС образования детей с ограниченными возможностями здоровья в </w:t>
      </w:r>
      <w:proofErr w:type="spellStart"/>
      <w:r w:rsidRPr="00BE108E">
        <w:rPr>
          <w:rFonts w:cs="Times New Roman"/>
        </w:rPr>
        <w:t>Минькинской</w:t>
      </w:r>
      <w:proofErr w:type="spellEnd"/>
      <w:r w:rsidRPr="00BE108E">
        <w:rPr>
          <w:rFonts w:cs="Times New Roman"/>
        </w:rPr>
        <w:t xml:space="preserve"> коррекционной школе-интернате и Мурманской специальной (коррекционной) общеобразовательной школе-интернате, для этого приобретено специальное оборудование и дидактические средства обучения, что способствует </w:t>
      </w:r>
      <w:r w:rsidRPr="00BE108E">
        <w:rPr>
          <w:rFonts w:cs="Times New Roman"/>
        </w:rPr>
        <w:lastRenderedPageBreak/>
        <w:t xml:space="preserve">социализации детей, создает условия для повышения качества коррекции сенсорных нарушений и тяжелых нарушений речи. </w:t>
      </w:r>
      <w:proofErr w:type="gramEnd"/>
    </w:p>
    <w:p w:rsidR="00FF4E43" w:rsidRPr="00BE108E" w:rsidRDefault="00FF4E43" w:rsidP="00E53558">
      <w:pPr>
        <w:rPr>
          <w:rFonts w:cs="Times New Roman"/>
          <w:bCs/>
        </w:rPr>
      </w:pPr>
      <w:r w:rsidRPr="00BE108E">
        <w:rPr>
          <w:rFonts w:cs="Times New Roman"/>
        </w:rPr>
        <w:t xml:space="preserve">В 2014 году продолжилась реализация мероприятий по модернизации общего образования, включая создание условий для реализации инновационных образовательных проектов, программ и внедрение их результатов в практику. </w:t>
      </w:r>
      <w:r w:rsidRPr="00BE108E">
        <w:rPr>
          <w:rFonts w:cs="Times New Roman"/>
          <w:color w:val="000000"/>
        </w:rPr>
        <w:t>На конкурсной основе</w:t>
      </w:r>
      <w:r w:rsidRPr="00BE108E">
        <w:rPr>
          <w:rFonts w:cs="Times New Roman"/>
        </w:rPr>
        <w:t xml:space="preserve"> оказана</w:t>
      </w:r>
      <w:r w:rsidRPr="00BE108E">
        <w:rPr>
          <w:rFonts w:cs="Times New Roman"/>
          <w:color w:val="000000"/>
        </w:rPr>
        <w:t xml:space="preserve"> целевая поддержка инноваций и инициатив детских садов, школ и учреждений дополнительного образования, </w:t>
      </w:r>
      <w:r w:rsidRPr="00BE108E">
        <w:rPr>
          <w:rFonts w:cs="Times New Roman"/>
          <w:bCs/>
        </w:rPr>
        <w:t xml:space="preserve">направленных на создание условий для реализации индивидуальных образовательных программ, проектной и поисковой исследовательской деятельности учащихся, развития научно-технического творчества. </w:t>
      </w:r>
    </w:p>
    <w:p w:rsidR="00FF4E43" w:rsidRPr="00BE108E" w:rsidRDefault="00FF4E43" w:rsidP="00E53558">
      <w:pPr>
        <w:rPr>
          <w:rFonts w:cs="Times New Roman"/>
          <w:b/>
        </w:rPr>
      </w:pPr>
      <w:r w:rsidRPr="00BE108E">
        <w:rPr>
          <w:rFonts w:cs="Times New Roman"/>
        </w:rPr>
        <w:t xml:space="preserve">В </w:t>
      </w:r>
      <w:proofErr w:type="gramStart"/>
      <w:r w:rsidRPr="00BE108E">
        <w:rPr>
          <w:rFonts w:cs="Times New Roman"/>
        </w:rPr>
        <w:t>регионе</w:t>
      </w:r>
      <w:proofErr w:type="gramEnd"/>
      <w:r w:rsidRPr="00BE108E">
        <w:rPr>
          <w:rFonts w:cs="Times New Roman"/>
        </w:rPr>
        <w:t xml:space="preserve"> приняты меры по обеспечению детей с ограниченными возможностями здоровья доступным и качественным образованием. В 30 образовательных </w:t>
      </w:r>
      <w:proofErr w:type="gramStart"/>
      <w:r w:rsidRPr="00BE108E">
        <w:rPr>
          <w:rFonts w:cs="Times New Roman"/>
        </w:rPr>
        <w:t>организациях</w:t>
      </w:r>
      <w:proofErr w:type="gramEnd"/>
      <w:r w:rsidRPr="00BE108E">
        <w:rPr>
          <w:rFonts w:cs="Times New Roman"/>
        </w:rPr>
        <w:t xml:space="preserve"> организовано инклюзивное образование с общим охватом 147 детей-инвалидов (12% от общего количества детей-инвалидов).</w:t>
      </w:r>
    </w:p>
    <w:p w:rsidR="00FF4E43" w:rsidRPr="00BE108E" w:rsidRDefault="00FF4E43" w:rsidP="00E53558">
      <w:pPr>
        <w:rPr>
          <w:rFonts w:cs="Times New Roman"/>
        </w:rPr>
      </w:pPr>
      <w:r w:rsidRPr="00BE108E">
        <w:rPr>
          <w:rFonts w:cs="Times New Roman"/>
        </w:rPr>
        <w:t xml:space="preserve">В 25 общеобразовательных </w:t>
      </w:r>
      <w:proofErr w:type="gramStart"/>
      <w:r w:rsidRPr="00BE108E">
        <w:rPr>
          <w:rFonts w:cs="Times New Roman"/>
        </w:rPr>
        <w:t>учреждениях</w:t>
      </w:r>
      <w:proofErr w:type="gramEnd"/>
      <w:r w:rsidRPr="00BE108E">
        <w:rPr>
          <w:rFonts w:cs="Times New Roman"/>
        </w:rPr>
        <w:t xml:space="preserve"> создана универсальная безбарьерная среда для образования детей с ограниченными возможностями здоровья. Доля учреждений среднего профессионального образования Мурманской области, здания которых приспособлены для обучения лиц с ограниченными возможностями здоровья, составила 16,7%. </w:t>
      </w:r>
    </w:p>
    <w:p w:rsidR="00FF4E43" w:rsidRPr="00BE108E" w:rsidRDefault="00FF4E43" w:rsidP="00E53558">
      <w:pPr>
        <w:rPr>
          <w:rFonts w:cs="Times New Roman"/>
          <w:color w:val="000000"/>
        </w:rPr>
      </w:pPr>
      <w:r w:rsidRPr="00BE108E">
        <w:rPr>
          <w:rFonts w:cs="Times New Roman"/>
        </w:rPr>
        <w:t xml:space="preserve">В </w:t>
      </w:r>
      <w:proofErr w:type="gramStart"/>
      <w:r w:rsidRPr="00BE108E">
        <w:rPr>
          <w:rFonts w:cs="Times New Roman"/>
        </w:rPr>
        <w:t>результате</w:t>
      </w:r>
      <w:proofErr w:type="gramEnd"/>
      <w:r w:rsidRPr="00BE108E">
        <w:rPr>
          <w:rFonts w:cs="Times New Roman"/>
        </w:rPr>
        <w:t xml:space="preserve"> принятых мер в 2014 году значительно снизился показатель по доле выпускников школ, не сдавших ЕГЭ, и составил всего 0,23% (план 1,24%, 2013 год – 0,7%, по России – 2,4%, по СЗФО – 1,7%). По итогам государственной итоговой аттестации 2014 года Мурманская область вошла в число 4 субъектов СЗФО, в которых </w:t>
      </w:r>
      <w:proofErr w:type="spellStart"/>
      <w:r w:rsidRPr="00BE108E">
        <w:rPr>
          <w:rFonts w:cs="Times New Roman"/>
        </w:rPr>
        <w:t>среднетестовые</w:t>
      </w:r>
      <w:proofErr w:type="spellEnd"/>
      <w:r w:rsidRPr="00BE108E">
        <w:rPr>
          <w:rFonts w:cs="Times New Roman"/>
        </w:rPr>
        <w:t xml:space="preserve"> баллы выше общероссийских по всем предметам. </w:t>
      </w:r>
    </w:p>
    <w:p w:rsidR="00FF4E43" w:rsidRPr="00BE108E" w:rsidRDefault="00FF4E43" w:rsidP="00E53558">
      <w:r w:rsidRPr="00BE108E">
        <w:t>Результаты всероссийских интеллектуальных состязаний обучающихся можно также рассматривать как подтверждение эффективности работы по повышению качества образования: 5 из 16 участников заключительного этапа всероссийской олимпиады школьников награждены дипломами призеров; впервые 2 команды области стали серебряными призерами Всероссийской робототехнической олимпиады и финалистами Международной робототехнической олимпиады в числе 16 сильнейших команд мира.</w:t>
      </w:r>
    </w:p>
    <w:p w:rsidR="00FF4E43" w:rsidRPr="00BE108E" w:rsidRDefault="00FF4E43" w:rsidP="00E53558">
      <w:pPr>
        <w:rPr>
          <w:rFonts w:cs="Times New Roman"/>
        </w:rPr>
      </w:pPr>
      <w:r w:rsidRPr="00BE108E">
        <w:rPr>
          <w:rFonts w:cs="Times New Roman"/>
        </w:rPr>
        <w:t>Особое место в повышении качества образования занимает работа по развитию системы выявления и поддержки одаренных детей. 732 обучающихся 9-11 классов из 16 муниципальных образований Мурманской области (5,6</w:t>
      </w:r>
      <w:r w:rsidR="00BF2C89" w:rsidRPr="00BE108E">
        <w:rPr>
          <w:rFonts w:cs="Times New Roman"/>
        </w:rPr>
        <w:t>%</w:t>
      </w:r>
      <w:r w:rsidRPr="00BE108E">
        <w:rPr>
          <w:rFonts w:cs="Times New Roman"/>
        </w:rPr>
        <w:t xml:space="preserve"> от общей численности) приняли участие в региональном этапе всероссийской олимпиады школьников по 21 учебному предмету, из них 21% </w:t>
      </w:r>
      <w:proofErr w:type="gramStart"/>
      <w:r w:rsidRPr="00BE108E">
        <w:rPr>
          <w:rFonts w:cs="Times New Roman"/>
        </w:rPr>
        <w:t>награжден</w:t>
      </w:r>
      <w:proofErr w:type="gramEnd"/>
      <w:r w:rsidRPr="00BE108E">
        <w:rPr>
          <w:rFonts w:cs="Times New Roman"/>
        </w:rPr>
        <w:t xml:space="preserve"> дипломами победителей и призеров. </w:t>
      </w:r>
    </w:p>
    <w:p w:rsidR="00FF4E43" w:rsidRPr="00BE108E" w:rsidRDefault="00FF4E43" w:rsidP="00E53558">
      <w:pPr>
        <w:rPr>
          <w:rFonts w:cs="Times New Roman"/>
        </w:rPr>
      </w:pPr>
      <w:r w:rsidRPr="00BE108E">
        <w:rPr>
          <w:rFonts w:cs="Times New Roman"/>
        </w:rPr>
        <w:t xml:space="preserve">Продолжено сотрудничество с МГТУ им. Н.Э. Баумана (г. Москва) по организации дистанционного обучения по приоритетным научным направлениям физико-математического и инженерного профиля. </w:t>
      </w:r>
    </w:p>
    <w:p w:rsidR="00FF4E43" w:rsidRPr="00BE108E" w:rsidRDefault="00FF4E43" w:rsidP="00E53558">
      <w:r w:rsidRPr="00BE108E">
        <w:t xml:space="preserve">Приняты меры по обеспечению </w:t>
      </w:r>
      <w:r w:rsidRPr="00BE108E">
        <w:rPr>
          <w:b/>
        </w:rPr>
        <w:t>доступности услуг дополнительного образования</w:t>
      </w:r>
      <w:r w:rsidRPr="00BE108E">
        <w:t xml:space="preserve">. На 23,4% увеличилось число детей, проживающих в сельской </w:t>
      </w:r>
      <w:r w:rsidRPr="00BE108E">
        <w:lastRenderedPageBreak/>
        <w:t>местности, занятых в дополнительном образовании, на 6,1% – число детей с ограниченными возможностями здоровья, занимающихся по программам дополнительного образования.</w:t>
      </w:r>
    </w:p>
    <w:p w:rsidR="00FF4E43" w:rsidRPr="00BE108E" w:rsidRDefault="00FF4E43" w:rsidP="00E53558">
      <w:r w:rsidRPr="00BE108E">
        <w:t xml:space="preserve">Вместе с тем сохраняется проблема привлечения подростков в возрасте с 15 лет в систему дополнительного образования, число обучающихся указанного возраста сократилось на 8,8%. </w:t>
      </w:r>
    </w:p>
    <w:p w:rsidR="00FF4E43" w:rsidRPr="00BE108E" w:rsidRDefault="00FF4E43" w:rsidP="00E53558">
      <w:pPr>
        <w:rPr>
          <w:rFonts w:cs="Times New Roman"/>
        </w:rPr>
      </w:pPr>
      <w:r w:rsidRPr="00BE108E">
        <w:rPr>
          <w:rFonts w:cs="Times New Roman"/>
        </w:rPr>
        <w:t xml:space="preserve">По большей части сохранен объем </w:t>
      </w:r>
      <w:r w:rsidRPr="00BE108E">
        <w:rPr>
          <w:rFonts w:cs="Times New Roman"/>
          <w:b/>
        </w:rPr>
        <w:t>отдыха и оздоровления детей</w:t>
      </w:r>
      <w:r w:rsidRPr="00BE108E">
        <w:rPr>
          <w:rFonts w:cs="Times New Roman"/>
        </w:rPr>
        <w:t>. Всего охвачено различными видами отдыха и оздоровления 41 019 человек (2013 год – 44 437 детей). Приоритетным направлением в проведении оздоровительной кампании на протяжении последних лет является организация отдыха за пределами Мурманской области (66% детей отдохнуло летом в районах с благоприятными природно-климатическими условиями).</w:t>
      </w:r>
    </w:p>
    <w:p w:rsidR="00FF4E43" w:rsidRPr="00BE108E" w:rsidRDefault="00FF4E43" w:rsidP="00E53558">
      <w:r w:rsidRPr="00BE108E">
        <w:t xml:space="preserve">Институтом развития образования разработано новое поколение дополнительных профессиональных программ </w:t>
      </w:r>
      <w:r w:rsidRPr="00BE108E">
        <w:rPr>
          <w:b/>
        </w:rPr>
        <w:t>повышения квалификации и профессиональной переподготовки педагогических и управленческих работников</w:t>
      </w:r>
      <w:r w:rsidRPr="00BE108E">
        <w:t xml:space="preserve">. </w:t>
      </w:r>
      <w:r w:rsidRPr="00BE108E">
        <w:rPr>
          <w:color w:val="000000"/>
        </w:rPr>
        <w:t>Доля учителей начальной школы, обучившихся на курсах повышения квалификации в соответствии с требованиями ФГОС, составляет 100%, учителей – предметников – 91%, руководящих работников – 84%. В целом в</w:t>
      </w:r>
      <w:r w:rsidRPr="00BE108E">
        <w:t xml:space="preserve"> 2014 году обучено 41,6% педагогических и управленческих работников общего образования области.</w:t>
      </w:r>
    </w:p>
    <w:p w:rsidR="00FF4E43" w:rsidRPr="00BE108E" w:rsidRDefault="00FF4E43" w:rsidP="00E53558">
      <w:pPr>
        <w:rPr>
          <w:rFonts w:cs="Times New Roman"/>
        </w:rPr>
      </w:pPr>
      <w:r w:rsidRPr="00BE108E">
        <w:rPr>
          <w:rFonts w:cs="Times New Roman"/>
        </w:rPr>
        <w:t xml:space="preserve">Уровень заработной платы педагогических работников школ, детских садов, учреждений </w:t>
      </w:r>
      <w:proofErr w:type="spellStart"/>
      <w:r w:rsidRPr="00BE108E">
        <w:rPr>
          <w:rFonts w:cs="Times New Roman"/>
        </w:rPr>
        <w:t>допобразования</w:t>
      </w:r>
      <w:proofErr w:type="spellEnd"/>
      <w:r w:rsidRPr="00BE108E">
        <w:rPr>
          <w:rFonts w:cs="Times New Roman"/>
        </w:rPr>
        <w:t>, колледжей, детских домов второй год соответствует значениям, установленным в Указах Президента РФ.</w:t>
      </w:r>
    </w:p>
    <w:p w:rsidR="00FF4E43" w:rsidRPr="00BE108E" w:rsidRDefault="00FF4E43" w:rsidP="00E53558">
      <w:pPr>
        <w:rPr>
          <w:rFonts w:cs="Times New Roman"/>
        </w:rPr>
      </w:pPr>
      <w:r w:rsidRPr="00BE108E">
        <w:rPr>
          <w:rFonts w:cs="Times New Roman"/>
        </w:rPr>
        <w:t xml:space="preserve">Одним из системных проектов, реализуемых в области, является </w:t>
      </w:r>
      <w:r w:rsidRPr="00BE108E">
        <w:rPr>
          <w:rFonts w:cs="Times New Roman"/>
          <w:b/>
        </w:rPr>
        <w:t>информатизация образования</w:t>
      </w:r>
      <w:r w:rsidRPr="00BE108E">
        <w:rPr>
          <w:rFonts w:cs="Times New Roman"/>
        </w:rPr>
        <w:t>. Доля образовательных организаций, в которых сформирована высокотехнологичная среда для применения электронного обучения и дистанционных образовательных технологий, составила 83,8% (в 2013 году – 55,8%)</w:t>
      </w:r>
      <w:r w:rsidR="00E53558">
        <w:rPr>
          <w:rFonts w:cs="Times New Roman"/>
        </w:rPr>
        <w:t>.</w:t>
      </w:r>
    </w:p>
    <w:p w:rsidR="00FF4E43" w:rsidRPr="00BE108E" w:rsidRDefault="00FF4E43" w:rsidP="00E53558">
      <w:pPr>
        <w:rPr>
          <w:rStyle w:val="text"/>
          <w:rFonts w:cs="Times New Roman"/>
          <w:szCs w:val="28"/>
        </w:rPr>
      </w:pPr>
      <w:r w:rsidRPr="00BE108E">
        <w:rPr>
          <w:rStyle w:val="text"/>
          <w:rFonts w:cs="Times New Roman"/>
          <w:szCs w:val="28"/>
        </w:rPr>
        <w:t>В 2014 году обеспечено функционирование в образовательных организациях Мурманской области</w:t>
      </w:r>
      <w:r w:rsidRPr="00BE108E">
        <w:rPr>
          <w:rFonts w:cs="Times New Roman"/>
        </w:rPr>
        <w:t xml:space="preserve"> </w:t>
      </w:r>
      <w:r w:rsidRPr="00BE108E">
        <w:rPr>
          <w:rStyle w:val="text"/>
          <w:rFonts w:cs="Times New Roman"/>
          <w:szCs w:val="28"/>
        </w:rPr>
        <w:t xml:space="preserve">трех автоматизированных информационных систем </w:t>
      </w:r>
      <w:r w:rsidRPr="00BE108E">
        <w:rPr>
          <w:rFonts w:cs="Times New Roman"/>
        </w:rPr>
        <w:t>для оказания государственных и муниципальных услуг в электронном виде</w:t>
      </w:r>
      <w:r w:rsidRPr="00BE108E">
        <w:rPr>
          <w:rStyle w:val="text"/>
          <w:rFonts w:cs="Times New Roman"/>
          <w:szCs w:val="28"/>
        </w:rPr>
        <w:t xml:space="preserve">: «Электронная школа», «Электронный колледж», «Электронный детский сад». </w:t>
      </w:r>
    </w:p>
    <w:p w:rsidR="00FF4E43" w:rsidRPr="00BE108E" w:rsidRDefault="00FF4E43" w:rsidP="00E53558">
      <w:pPr>
        <w:rPr>
          <w:rFonts w:cs="Times New Roman"/>
        </w:rPr>
      </w:pPr>
      <w:r w:rsidRPr="00BE108E">
        <w:rPr>
          <w:rFonts w:cs="Times New Roman"/>
        </w:rPr>
        <w:t xml:space="preserve">В </w:t>
      </w:r>
      <w:proofErr w:type="gramStart"/>
      <w:r w:rsidRPr="00BE108E">
        <w:rPr>
          <w:rFonts w:cs="Times New Roman"/>
        </w:rPr>
        <w:t>результате</w:t>
      </w:r>
      <w:proofErr w:type="gramEnd"/>
      <w:r w:rsidRPr="00BE108E">
        <w:rPr>
          <w:rFonts w:cs="Times New Roman"/>
        </w:rPr>
        <w:t xml:space="preserve"> проведенных мероприятий по </w:t>
      </w:r>
      <w:r w:rsidRPr="00BE108E">
        <w:rPr>
          <w:rFonts w:cs="Times New Roman"/>
          <w:b/>
        </w:rPr>
        <w:t>развитию инфраструктуры системы образования</w:t>
      </w:r>
      <w:r w:rsidRPr="00BE108E">
        <w:rPr>
          <w:rFonts w:cs="Times New Roman"/>
        </w:rPr>
        <w:t xml:space="preserve"> в 2014 году: </w:t>
      </w:r>
    </w:p>
    <w:p w:rsidR="00FF4E43" w:rsidRPr="00E53558" w:rsidRDefault="00FF4E43" w:rsidP="00E53558">
      <w:pPr>
        <w:pStyle w:val="a5"/>
        <w:numPr>
          <w:ilvl w:val="0"/>
          <w:numId w:val="7"/>
        </w:numPr>
        <w:tabs>
          <w:tab w:val="left" w:pos="1134"/>
        </w:tabs>
        <w:ind w:left="0" w:firstLine="709"/>
        <w:rPr>
          <w:rFonts w:ascii="Times New Roman" w:hAnsi="Times New Roman"/>
          <w:szCs w:val="28"/>
        </w:rPr>
      </w:pPr>
      <w:r w:rsidRPr="00E53558">
        <w:rPr>
          <w:rFonts w:ascii="Times New Roman" w:hAnsi="Times New Roman"/>
          <w:szCs w:val="28"/>
        </w:rPr>
        <w:t xml:space="preserve">84% образовательных организаций области оснащены системами автоматической пожарной сигнализации с выводом сигнала на пульты пожарных и охранных подразделений (2013 год – 80%); </w:t>
      </w:r>
    </w:p>
    <w:p w:rsidR="00FF4E43" w:rsidRPr="00E53558" w:rsidRDefault="00FF4E43" w:rsidP="00E53558">
      <w:pPr>
        <w:pStyle w:val="a5"/>
        <w:numPr>
          <w:ilvl w:val="0"/>
          <w:numId w:val="7"/>
        </w:numPr>
        <w:tabs>
          <w:tab w:val="left" w:pos="1134"/>
        </w:tabs>
        <w:ind w:left="0" w:firstLine="709"/>
        <w:rPr>
          <w:rFonts w:ascii="Times New Roman" w:hAnsi="Times New Roman"/>
          <w:szCs w:val="28"/>
        </w:rPr>
      </w:pPr>
      <w:r w:rsidRPr="00E53558">
        <w:rPr>
          <w:rFonts w:ascii="Times New Roman" w:hAnsi="Times New Roman"/>
          <w:szCs w:val="28"/>
        </w:rPr>
        <w:t xml:space="preserve">57% организаций </w:t>
      </w:r>
      <w:proofErr w:type="gramStart"/>
      <w:r w:rsidRPr="00E53558">
        <w:rPr>
          <w:rFonts w:ascii="Times New Roman" w:hAnsi="Times New Roman"/>
          <w:szCs w:val="28"/>
        </w:rPr>
        <w:t>оборудованы</w:t>
      </w:r>
      <w:proofErr w:type="gramEnd"/>
      <w:r w:rsidRPr="00E53558">
        <w:rPr>
          <w:rFonts w:ascii="Times New Roman" w:hAnsi="Times New Roman"/>
          <w:szCs w:val="28"/>
        </w:rPr>
        <w:t xml:space="preserve"> системами наружного и внутреннего вид</w:t>
      </w:r>
      <w:r w:rsidR="00E53558" w:rsidRPr="00E53558">
        <w:rPr>
          <w:rFonts w:ascii="Times New Roman" w:hAnsi="Times New Roman"/>
          <w:szCs w:val="28"/>
        </w:rPr>
        <w:t>еонаблюдения (в 2013 – 50%);</w:t>
      </w:r>
    </w:p>
    <w:p w:rsidR="00FF4E43" w:rsidRPr="00E53558" w:rsidRDefault="00FF4E43" w:rsidP="00E53558">
      <w:pPr>
        <w:pStyle w:val="a5"/>
        <w:numPr>
          <w:ilvl w:val="0"/>
          <w:numId w:val="7"/>
        </w:numPr>
        <w:tabs>
          <w:tab w:val="left" w:pos="1134"/>
        </w:tabs>
        <w:ind w:left="0" w:firstLine="709"/>
        <w:rPr>
          <w:rFonts w:ascii="Times New Roman" w:hAnsi="Times New Roman"/>
          <w:szCs w:val="28"/>
        </w:rPr>
      </w:pPr>
      <w:r w:rsidRPr="00E53558">
        <w:rPr>
          <w:rFonts w:ascii="Times New Roman" w:hAnsi="Times New Roman"/>
          <w:szCs w:val="28"/>
        </w:rPr>
        <w:t>снижена доля образовательных организаций, имеющих предписания органов надзорной деятельности, с 36</w:t>
      </w:r>
      <w:r w:rsidR="00BF2C89" w:rsidRPr="00E53558">
        <w:rPr>
          <w:rFonts w:ascii="Times New Roman" w:hAnsi="Times New Roman"/>
          <w:szCs w:val="28"/>
        </w:rPr>
        <w:t>%</w:t>
      </w:r>
      <w:r w:rsidRPr="00E53558">
        <w:rPr>
          <w:rFonts w:ascii="Times New Roman" w:hAnsi="Times New Roman"/>
          <w:szCs w:val="28"/>
        </w:rPr>
        <w:t xml:space="preserve"> в 2013 году до 35</w:t>
      </w:r>
      <w:r w:rsidR="00BF2C89" w:rsidRPr="00E53558">
        <w:rPr>
          <w:rFonts w:ascii="Times New Roman" w:hAnsi="Times New Roman"/>
          <w:szCs w:val="28"/>
        </w:rPr>
        <w:t>%</w:t>
      </w:r>
      <w:r w:rsidRPr="00E53558">
        <w:rPr>
          <w:rFonts w:ascii="Times New Roman" w:hAnsi="Times New Roman"/>
          <w:szCs w:val="28"/>
        </w:rPr>
        <w:t xml:space="preserve"> в 2014 году.</w:t>
      </w:r>
    </w:p>
    <w:p w:rsidR="00FF4E43" w:rsidRPr="00BE108E" w:rsidRDefault="00FF4E43" w:rsidP="00E53558">
      <w:pPr>
        <w:rPr>
          <w:u w:val="single"/>
        </w:rPr>
      </w:pPr>
      <w:r w:rsidRPr="00BE108E">
        <w:t xml:space="preserve">В 2014 году не достигнуты целевые показатели по доле образовательных учреждений, соответствующих требованиям пожарной безопасности, – 79% (план 84%) и по доле образовательных учреждений, относящихся к первой </w:t>
      </w:r>
      <w:r w:rsidRPr="00BE108E">
        <w:lastRenderedPageBreak/>
        <w:t xml:space="preserve">группе по санитарно-гигиенической характеристике, – 71% (план 80%). Причиной невыполнения принятых обязательств является </w:t>
      </w:r>
      <w:proofErr w:type="gramStart"/>
      <w:r w:rsidRPr="00BE108E">
        <w:t>недостаточное</w:t>
      </w:r>
      <w:proofErr w:type="gramEnd"/>
      <w:r w:rsidRPr="00BE108E">
        <w:t xml:space="preserve"> софинансирование мероприятий из местных бюджетов. </w:t>
      </w:r>
    </w:p>
    <w:p w:rsidR="00FF4E43" w:rsidRPr="00BE108E" w:rsidRDefault="00FF4E43" w:rsidP="00E53558">
      <w:r w:rsidRPr="00BE108E">
        <w:t xml:space="preserve">В 2014 году введены в эксплуатацию новые детские сады </w:t>
      </w:r>
      <w:proofErr w:type="gramStart"/>
      <w:r w:rsidRPr="00BE108E">
        <w:t>в</w:t>
      </w:r>
      <w:proofErr w:type="gramEnd"/>
      <w:r w:rsidRPr="00BE108E">
        <w:t xml:space="preserve"> ЗАТО г. Североморск и г. Кандалакша. Проведены реконструкции и капитальные ремонты зданий четырех детских садов в пос. Высокий, гг. Апатиты, Гаджиево, Заполярный.</w:t>
      </w:r>
    </w:p>
    <w:p w:rsidR="00FF4E43" w:rsidRPr="00BE108E" w:rsidRDefault="00FF4E43" w:rsidP="00E53558">
      <w:r w:rsidRPr="00BE108E">
        <w:t xml:space="preserve">Разработаны ПСД на реконструкцию детского оздоровительного центра «Гандвиг» и полигона Мурманского областного строительного колледжа им. Н.Е. Момота. </w:t>
      </w:r>
    </w:p>
    <w:p w:rsidR="00FF4E43" w:rsidRPr="00BE108E" w:rsidRDefault="00FF4E43" w:rsidP="00E53558">
      <w:r w:rsidRPr="00BE108E">
        <w:t>Продолжается строительство и реконструкция дошкольных образовательных учреждений, на отдельных объектах работы ведутся с отставанием от графика производства работ.</w:t>
      </w:r>
    </w:p>
    <w:p w:rsidR="00FF4E43" w:rsidRPr="00BE108E" w:rsidRDefault="00FF4E43" w:rsidP="00E53558">
      <w:r w:rsidRPr="00BE108E">
        <w:t xml:space="preserve">В </w:t>
      </w:r>
      <w:proofErr w:type="gramStart"/>
      <w:r w:rsidRPr="00BE108E">
        <w:t>результате</w:t>
      </w:r>
      <w:proofErr w:type="gramEnd"/>
      <w:r w:rsidRPr="00BE108E">
        <w:t xml:space="preserve"> реализации комплекса мероприятий доля общеобразовательных учреждений, соответствующих современным требованиям обучения, увеличилась с 82% в 2013 году до 87% в 2014 году.</w:t>
      </w:r>
    </w:p>
    <w:p w:rsidR="00EE537D" w:rsidRDefault="00FF4E43" w:rsidP="002F5E64">
      <w:proofErr w:type="gramStart"/>
      <w:r w:rsidRPr="00BE108E">
        <w:rPr>
          <w:b/>
        </w:rPr>
        <w:t>С целью создания условий для успешной социализации и самореализации молодежи</w:t>
      </w:r>
      <w:r w:rsidRPr="00BE108E">
        <w:t xml:space="preserve"> в 2014 году 103 детским и молодежным общественным объединениям</w:t>
      </w:r>
      <w:r w:rsidR="003B43FB" w:rsidRPr="003B43FB">
        <w:t xml:space="preserve"> </w:t>
      </w:r>
      <w:r w:rsidR="003B43FB" w:rsidRPr="00BE108E">
        <w:t>оказан</w:t>
      </w:r>
      <w:r w:rsidR="003B43FB">
        <w:t>ы</w:t>
      </w:r>
      <w:r w:rsidR="003B43FB" w:rsidRPr="00BE108E">
        <w:t xml:space="preserve"> </w:t>
      </w:r>
      <w:r w:rsidR="003B43FB">
        <w:t xml:space="preserve">различные виды </w:t>
      </w:r>
      <w:r w:rsidR="003B43FB" w:rsidRPr="00BE108E">
        <w:t>поддержк</w:t>
      </w:r>
      <w:r w:rsidR="003B43FB">
        <w:t>и</w:t>
      </w:r>
      <w:r w:rsidR="00EE537D">
        <w:t>, включая</w:t>
      </w:r>
      <w:r w:rsidR="002F5E64">
        <w:t>:</w:t>
      </w:r>
      <w:r w:rsidR="00EE537D">
        <w:t xml:space="preserve"> организацию обучения представителей общественных организаций</w:t>
      </w:r>
      <w:r w:rsidR="009249B7">
        <w:t xml:space="preserve"> и </w:t>
      </w:r>
      <w:r w:rsidR="00EE537D">
        <w:t>специалистов, работающих с молодежью, по вопросам деятельности общественных объединений и добровольческой деятельности</w:t>
      </w:r>
      <w:r w:rsidR="002F5E64">
        <w:t>; проведение</w:t>
      </w:r>
      <w:r w:rsidR="002F5E64" w:rsidRPr="002F5E64">
        <w:t xml:space="preserve"> </w:t>
      </w:r>
      <w:r w:rsidR="002F5E64">
        <w:t>лагеря для инструкторов и лидеров регионального добровольческого движения;</w:t>
      </w:r>
      <w:proofErr w:type="gramEnd"/>
      <w:r w:rsidR="00EE537D">
        <w:t xml:space="preserve"> обеспечение деятельност</w:t>
      </w:r>
      <w:r w:rsidR="002F5E64">
        <w:t>и</w:t>
      </w:r>
      <w:r w:rsidR="00EE537D">
        <w:t xml:space="preserve"> регионального координационного совета по развитию добровольческого движения</w:t>
      </w:r>
      <w:r w:rsidR="002F5E64">
        <w:t>; обеспечение участия молодежных активистов в различных конкурсах, форумах, фестивалях, проектах конкурсах и других мероприятиях, направленных на вовлечение молодежи в социальную практику.</w:t>
      </w:r>
    </w:p>
    <w:p w:rsidR="002F5E64" w:rsidRDefault="00FF4E43" w:rsidP="00EE537D">
      <w:r w:rsidRPr="00BE108E">
        <w:t xml:space="preserve">8 проектов молодежных и детских общественных объединений Мурманской области </w:t>
      </w:r>
      <w:r w:rsidR="009249B7">
        <w:t xml:space="preserve">по </w:t>
      </w:r>
      <w:r w:rsidR="002F5E64">
        <w:rPr>
          <w:rFonts w:cs="Times New Roman"/>
          <w:szCs w:val="28"/>
        </w:rPr>
        <w:t xml:space="preserve">итогам проведенного конкурса </w:t>
      </w:r>
      <w:r w:rsidRPr="00BE108E">
        <w:t>получили финансовую помощь.</w:t>
      </w:r>
      <w:r w:rsidR="002F5E64" w:rsidRPr="002F5E64">
        <w:t xml:space="preserve"> </w:t>
      </w:r>
    </w:p>
    <w:p w:rsidR="002F5E64" w:rsidRDefault="002F5E64" w:rsidP="00E53558">
      <w:r w:rsidRPr="005A3CC7">
        <w:rPr>
          <w:rFonts w:cs="Times New Roman"/>
          <w:color w:val="000000"/>
          <w:szCs w:val="28"/>
        </w:rPr>
        <w:t>Обеспечено участие делегации Мурманской области в международных, всероссийских и межрег</w:t>
      </w:r>
      <w:r>
        <w:rPr>
          <w:rFonts w:cs="Times New Roman"/>
          <w:color w:val="000000"/>
          <w:szCs w:val="28"/>
        </w:rPr>
        <w:t>иональных молодежных конкурсах</w:t>
      </w:r>
      <w:r w:rsidRPr="005A3CC7">
        <w:rPr>
          <w:rFonts w:cs="Times New Roman"/>
          <w:color w:val="000000"/>
          <w:szCs w:val="28"/>
        </w:rPr>
        <w:t>, направленных на продвижение молодежного творчества</w:t>
      </w:r>
      <w:r w:rsidR="008839C6">
        <w:t>.</w:t>
      </w:r>
    </w:p>
    <w:p w:rsidR="002F5E64" w:rsidRPr="00BE108E" w:rsidRDefault="002F5E64" w:rsidP="002F5E64">
      <w:r w:rsidRPr="00BE108E">
        <w:t xml:space="preserve">В Мурманском открытом региональном </w:t>
      </w:r>
      <w:proofErr w:type="gramStart"/>
      <w:r w:rsidRPr="00BE108E">
        <w:t>фестивале</w:t>
      </w:r>
      <w:proofErr w:type="gramEnd"/>
      <w:r w:rsidRPr="00BE108E">
        <w:t xml:space="preserve"> поддержки и развития молодежного творчества «ТРАССА» приняло участие более 2000 участников и 11 000 зрителей из Мурманской области. </w:t>
      </w:r>
    </w:p>
    <w:p w:rsidR="00FF4E43" w:rsidRPr="00BE108E" w:rsidRDefault="00FF4E43" w:rsidP="00E53558">
      <w:r w:rsidRPr="00BE108E">
        <w:t>По итогам 2013/2014 учебного года 92 молодых жителя области, продемонстрировавших исключительные успехи в научной, учебной, художественной, спортивной и общественной деятельности, получили премии Губернатора Мурманской области одаренным детям и учащейся молодежи.</w:t>
      </w:r>
    </w:p>
    <w:p w:rsidR="00FF4E43" w:rsidRPr="00BE108E" w:rsidRDefault="00FF4E43" w:rsidP="00E53558">
      <w:r w:rsidRPr="00BE108E">
        <w:t>Удельный вес численности молодых людей, вовлеченных в мероприятия, направленные на самореализацию и социализацию молодежи, сохранился на уровне 2013 года и составил 25,4% в общей численности молодежи в возрасте от 14 до 30 лет.</w:t>
      </w:r>
    </w:p>
    <w:p w:rsidR="00FF4E43" w:rsidRPr="00BE108E" w:rsidRDefault="00FF4E43" w:rsidP="00E53558">
      <w:r w:rsidRPr="00BE108E">
        <w:lastRenderedPageBreak/>
        <w:t>Из 38 предусмотренных к выполнению на 2014 год показателей государственной программы всего 2 достигнуты не в полном объеме, два показателя значительно перевыполнены. Средняя степень достижения показателей государственной программы составила 115,2</w:t>
      </w:r>
      <w:r w:rsidR="00BF2C89" w:rsidRPr="00BE108E">
        <w:t>%</w:t>
      </w:r>
      <w:r w:rsidRPr="00BE108E">
        <w:t>.</w:t>
      </w:r>
    </w:p>
    <w:p w:rsidR="00FF4E43" w:rsidRPr="00BE108E" w:rsidRDefault="00FF4E43" w:rsidP="00E53558">
      <w:pPr>
        <w:rPr>
          <w:rStyle w:val="FontStyle14"/>
          <w:sz w:val="28"/>
          <w:szCs w:val="28"/>
        </w:rPr>
      </w:pPr>
      <w:r w:rsidRPr="00BE108E">
        <w:t>Итоговая оценка эффективности реализации государственной программы в соответствии с утвержденной методикой произведена по четырем установленным критериям и определена как высокая.</w:t>
      </w:r>
    </w:p>
    <w:p w:rsidR="00167178" w:rsidRPr="00BE108E" w:rsidRDefault="00167178" w:rsidP="007D3A7A">
      <w:pPr>
        <w:pStyle w:val="ConsPlusCell"/>
        <w:jc w:val="both"/>
        <w:rPr>
          <w:rStyle w:val="FontStyle14"/>
          <w:sz w:val="28"/>
          <w:szCs w:val="28"/>
        </w:rPr>
      </w:pPr>
    </w:p>
    <w:p w:rsidR="00FF4E43" w:rsidRPr="00BE108E" w:rsidRDefault="00FF4E43" w:rsidP="00B93BB7">
      <w:pPr>
        <w:pStyle w:val="1"/>
      </w:pPr>
      <w:r w:rsidRPr="00BE108E">
        <w:t xml:space="preserve">Государственная программа </w:t>
      </w:r>
      <w:r w:rsidR="00B93BB7" w:rsidRPr="00BE108E">
        <w:t xml:space="preserve">3 </w:t>
      </w:r>
      <w:r w:rsidRPr="00BE108E">
        <w:t xml:space="preserve">«Социальная поддержка граждан и развитие социально-трудовых отношений» </w:t>
      </w:r>
    </w:p>
    <w:p w:rsidR="00D064E3" w:rsidRPr="00BE108E" w:rsidRDefault="00D064E3" w:rsidP="00D064E3">
      <w:pPr>
        <w:pStyle w:val="ConsPlusCell"/>
        <w:ind w:firstLine="709"/>
        <w:jc w:val="both"/>
        <w:rPr>
          <w:rStyle w:val="FontStyle14"/>
          <w:sz w:val="28"/>
          <w:szCs w:val="28"/>
        </w:rPr>
      </w:pPr>
    </w:p>
    <w:p w:rsidR="00FF4E43" w:rsidRDefault="00D064E3" w:rsidP="00D064E3">
      <w:pPr>
        <w:ind w:firstLine="0"/>
        <w:rPr>
          <w:rFonts w:cs="Times New Roman"/>
          <w:szCs w:val="28"/>
        </w:rPr>
      </w:pPr>
      <w:r w:rsidRPr="00BE108E">
        <w:rPr>
          <w:noProof/>
        </w:rPr>
        <w:drawing>
          <wp:inline distT="0" distB="0" distL="0" distR="0">
            <wp:extent cx="2466754" cy="3211033"/>
            <wp:effectExtent l="0" t="0" r="10160" b="2794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cs="Times New Roman"/>
          <w:szCs w:val="28"/>
        </w:rPr>
        <w:t xml:space="preserve"> </w:t>
      </w:r>
      <w:r w:rsidRPr="00BE108E">
        <w:rPr>
          <w:noProof/>
        </w:rPr>
        <w:drawing>
          <wp:inline distT="0" distB="0" distL="0" distR="0">
            <wp:extent cx="3561715" cy="3210560"/>
            <wp:effectExtent l="0" t="0" r="19685" b="2794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7</w:t>
      </w:r>
    </w:p>
    <w:p w:rsidR="00C13F31" w:rsidRPr="00C13F31" w:rsidRDefault="00C13F31" w:rsidP="00C13F31">
      <w:pPr>
        <w:ind w:firstLine="0"/>
        <w:jc w:val="center"/>
        <w:rPr>
          <w:sz w:val="24"/>
        </w:rPr>
      </w:pPr>
    </w:p>
    <w:p w:rsidR="00FF4E43" w:rsidRPr="00BE108E" w:rsidRDefault="00FF4E43" w:rsidP="0055692C">
      <w:r w:rsidRPr="00BE108E">
        <w:t xml:space="preserve">По состоянию на конец отчетного периода общий объем финансирования, запланированный на реализацию государственной программы, составил 10 645,8 млн. рублей. </w:t>
      </w:r>
    </w:p>
    <w:p w:rsidR="00FF4E43" w:rsidRPr="00BE108E" w:rsidRDefault="00FF4E43" w:rsidP="0055692C">
      <w:r w:rsidRPr="00BE108E">
        <w:t>Общая сумма расходов за 2014 год составила 10 204,7 млн. рублей (95,</w:t>
      </w:r>
      <w:r w:rsidR="00BF2C89" w:rsidRPr="00BE108E">
        <w:t>9</w:t>
      </w:r>
      <w:r w:rsidRPr="00BE108E">
        <w:t>% от предусмотренного объема), в том числе за счет средств областного бюджета – 9 103,9 млн. рублей (96%), федерального бюджета – 1 068,6 млн. рублей (9</w:t>
      </w:r>
      <w:r w:rsidR="00BF2C89" w:rsidRPr="00BE108E">
        <w:t>2,3</w:t>
      </w:r>
      <w:r w:rsidRPr="00BE108E">
        <w:t xml:space="preserve">%), внебюджетных средств – 32,2 млн. рублей (201,2%). </w:t>
      </w:r>
    </w:p>
    <w:p w:rsidR="00FF4E43" w:rsidRPr="00BE108E" w:rsidRDefault="00FF4E43" w:rsidP="0055692C">
      <w:r w:rsidRPr="00BE108E">
        <w:t>Значительное превышение фактического объема финансирования за счет внебюджетных средств над плановым вызвано увеличением числа работодателей, воспользовавшимися средствами Фонда социального страхования Российской Федерации (далее - Фонд)</w:t>
      </w:r>
      <w:r w:rsidR="00BF2C89" w:rsidRPr="00BE108E">
        <w:t xml:space="preserve"> </w:t>
      </w:r>
      <w:r w:rsidRPr="00BE108E">
        <w:t>для улучшения условий и охраны труда.</w:t>
      </w:r>
    </w:p>
    <w:p w:rsidR="00FF4E43" w:rsidRPr="00BE108E" w:rsidRDefault="00FF4E43" w:rsidP="0055692C">
      <w:pPr>
        <w:rPr>
          <w:rFonts w:cs="Times New Roman"/>
        </w:rPr>
      </w:pPr>
      <w:r w:rsidRPr="00BE108E">
        <w:rPr>
          <w:rFonts w:eastAsia="Times New Roman" w:cs="Times New Roman"/>
          <w:bCs/>
        </w:rPr>
        <w:t xml:space="preserve">В </w:t>
      </w:r>
      <w:proofErr w:type="gramStart"/>
      <w:r w:rsidRPr="00BE108E">
        <w:rPr>
          <w:rFonts w:eastAsia="Times New Roman" w:cs="Times New Roman"/>
          <w:bCs/>
        </w:rPr>
        <w:t>целях</w:t>
      </w:r>
      <w:proofErr w:type="gramEnd"/>
      <w:r w:rsidRPr="00BE108E">
        <w:rPr>
          <w:rFonts w:eastAsia="Times New Roman" w:cs="Times New Roman"/>
          <w:bCs/>
        </w:rPr>
        <w:t xml:space="preserve"> </w:t>
      </w:r>
      <w:r w:rsidRPr="00BE108E">
        <w:rPr>
          <w:rFonts w:eastAsia="Times New Roman" w:cs="Times New Roman"/>
          <w:b/>
          <w:bCs/>
        </w:rPr>
        <w:t xml:space="preserve">обеспечения потребностей пожилых граждан, инвалидов, включая детей-инвалидов, семей и детей в социальном обслуживании </w:t>
      </w:r>
      <w:r w:rsidRPr="00BE108E">
        <w:rPr>
          <w:rFonts w:cs="Times New Roman"/>
        </w:rPr>
        <w:t>в отчетном году осуществлялась реализация мероприятий по строительству и реконструкции объектов социальной сферы.</w:t>
      </w:r>
    </w:p>
    <w:p w:rsidR="00FF4E43" w:rsidRPr="00BE108E" w:rsidRDefault="00FF4E43" w:rsidP="0055692C">
      <w:pPr>
        <w:rPr>
          <w:rFonts w:cs="Times New Roman"/>
        </w:rPr>
      </w:pPr>
      <w:r w:rsidRPr="00BE108E">
        <w:rPr>
          <w:rFonts w:cs="Times New Roman"/>
        </w:rPr>
        <w:lastRenderedPageBreak/>
        <w:t xml:space="preserve">Введен в эксплуатацию после проведенной реконструкции социально-реабилитационный центр для несовершеннолетних </w:t>
      </w:r>
      <w:proofErr w:type="gramStart"/>
      <w:r w:rsidRPr="00BE108E">
        <w:rPr>
          <w:rFonts w:cs="Times New Roman"/>
        </w:rPr>
        <w:t>в</w:t>
      </w:r>
      <w:proofErr w:type="gramEnd"/>
      <w:r w:rsidRPr="00BE108E">
        <w:rPr>
          <w:rFonts w:cs="Times New Roman"/>
        </w:rPr>
        <w:t xml:space="preserve"> ЗАТО г. Снежногорск. Продолжено строительство второго спального корпуса на 136 мест в г. Апатиты для Апатитского психоневрологического интерната №1, ввод которого в эксплуатацию планируется в 2015 году, кроме того, начато строительство третьего спального корпуса на 136 мест и пищеблока со столовой, ввод которых планируется до конца 2017 года. По объектам «Отделение реабилитации несовершеннолетних в г. Североморске»</w:t>
      </w:r>
      <w:r w:rsidR="00BF2C89" w:rsidRPr="00BE108E">
        <w:rPr>
          <w:rFonts w:cs="Times New Roman"/>
        </w:rPr>
        <w:t>, «Реконструкция Ковдорского дома-интерната для престарелых и инвалидов»</w:t>
      </w:r>
      <w:r w:rsidRPr="00BE108E">
        <w:rPr>
          <w:rFonts w:cs="Times New Roman"/>
        </w:rPr>
        <w:t>, «Психоневрологический интернат на ул. Гладышева, 10 в г. Апатиты» разработана проектно-сметная документация.</w:t>
      </w:r>
    </w:p>
    <w:p w:rsidR="00FF4E43" w:rsidRPr="00BE108E" w:rsidRDefault="00FF4E43" w:rsidP="0055692C">
      <w:pPr>
        <w:rPr>
          <w:rFonts w:cs="Times New Roman"/>
        </w:rPr>
      </w:pPr>
      <w:r w:rsidRPr="00BE108E">
        <w:rPr>
          <w:rFonts w:cs="Times New Roman"/>
        </w:rPr>
        <w:t>Реализованные мероприятия по укреплению материально-технической базы учреждений социального обслуживания населения, открытие и развитие отделений и служб, способствовали повышению доли учреждений социального обслуживания</w:t>
      </w:r>
      <w:r w:rsidR="00BF2C89" w:rsidRPr="00BE108E">
        <w:rPr>
          <w:rFonts w:cs="Times New Roman"/>
        </w:rPr>
        <w:t xml:space="preserve"> </w:t>
      </w:r>
      <w:r w:rsidRPr="00BE108E">
        <w:rPr>
          <w:rFonts w:cs="Times New Roman"/>
        </w:rPr>
        <w:t>населения, предоставляющих услуги в соответствии с установленными региональными стандартами качества, в части требований к материально-техническому обеспечению предоставления государственной</w:t>
      </w:r>
      <w:r w:rsidR="00BF2C89" w:rsidRPr="00BE108E">
        <w:rPr>
          <w:rFonts w:cs="Times New Roman"/>
        </w:rPr>
        <w:t xml:space="preserve"> </w:t>
      </w:r>
      <w:r w:rsidRPr="00BE108E">
        <w:rPr>
          <w:rFonts w:cs="Times New Roman"/>
        </w:rPr>
        <w:t>услуги, от общего числа учреждений социального обслуживания населения до 80%.</w:t>
      </w:r>
    </w:p>
    <w:p w:rsidR="00FF4E43" w:rsidRPr="00BE108E" w:rsidRDefault="00FF4E43" w:rsidP="0055692C">
      <w:pPr>
        <w:rPr>
          <w:rFonts w:cs="Times New Roman"/>
        </w:rPr>
      </w:pPr>
      <w:r w:rsidRPr="00BE108E">
        <w:rPr>
          <w:rFonts w:cs="Times New Roman"/>
        </w:rPr>
        <w:t>Обеспеченность стационарными учреждениями социального обслуживания престарелых и инвалидов (взрослых и детей) увеличилась до 23,3 мест на 10 тыс. населения (в 2013 году – 22,2 мест).</w:t>
      </w:r>
    </w:p>
    <w:p w:rsidR="00FF4E43" w:rsidRPr="00BE108E" w:rsidRDefault="00FF4E43" w:rsidP="0055692C">
      <w:pPr>
        <w:rPr>
          <w:rFonts w:cs="Times New Roman"/>
          <w:b/>
        </w:rPr>
      </w:pPr>
      <w:proofErr w:type="gramStart"/>
      <w:r w:rsidRPr="00BE108E">
        <w:rPr>
          <w:rFonts w:cs="Times New Roman"/>
        </w:rPr>
        <w:t>В отчетном периоде учреждениями социального обслуживания населения в плановом режиме предоставлялись государственные социальные услуги (работы) в стационарных</w:t>
      </w:r>
      <w:r w:rsidR="00BF2C89" w:rsidRPr="00BE108E">
        <w:rPr>
          <w:rFonts w:cs="Times New Roman"/>
        </w:rPr>
        <w:t xml:space="preserve"> </w:t>
      </w:r>
      <w:r w:rsidRPr="00BE108E">
        <w:rPr>
          <w:rFonts w:cs="Times New Roman"/>
        </w:rPr>
        <w:t>и полустационарных условиях, при возникновении необходимости организована перевозка несовершеннолетних, самовольно ушедших из семей, произведены выплаты денежных вознаграждений лицам, осуществляющим постинтернатный патронат, предоставлены меры социальной поддержки работникам социальных учреждений, работающим в сельской местности.</w:t>
      </w:r>
      <w:proofErr w:type="gramEnd"/>
    </w:p>
    <w:p w:rsidR="00FF4E43" w:rsidRPr="00BE108E" w:rsidRDefault="00FF4E43" w:rsidP="0055692C">
      <w:pPr>
        <w:rPr>
          <w:rFonts w:cs="Times New Roman"/>
        </w:rPr>
      </w:pPr>
      <w:r w:rsidRPr="00BE108E">
        <w:rPr>
          <w:rFonts w:cs="Times New Roman"/>
        </w:rPr>
        <w:t>Натуральные показатели результативности выполняемых государственных услуг (работ) достигнуты и составляют от 95,2</w:t>
      </w:r>
      <w:r w:rsidR="00BF2C89" w:rsidRPr="00BE108E">
        <w:rPr>
          <w:rFonts w:cs="Times New Roman"/>
        </w:rPr>
        <w:t>%</w:t>
      </w:r>
      <w:r w:rsidRPr="00BE108E">
        <w:rPr>
          <w:rFonts w:cs="Times New Roman"/>
        </w:rPr>
        <w:t xml:space="preserve"> до 102,2%.</w:t>
      </w:r>
    </w:p>
    <w:p w:rsidR="00FF4E43" w:rsidRPr="00BE108E" w:rsidRDefault="00FF4E43" w:rsidP="0055692C">
      <w:pPr>
        <w:rPr>
          <w:rFonts w:cs="Times New Roman"/>
        </w:rPr>
      </w:pPr>
      <w:r w:rsidRPr="00BE108E">
        <w:rPr>
          <w:rFonts w:cs="Times New Roman"/>
        </w:rPr>
        <w:t>Кроме того, были проведены мероприятия, направленные на расширение спектра социальных услуг и повышение их качества.</w:t>
      </w:r>
    </w:p>
    <w:p w:rsidR="00FF4E43" w:rsidRPr="00BE108E" w:rsidRDefault="00FF4E43" w:rsidP="0055692C">
      <w:pPr>
        <w:rPr>
          <w:rFonts w:cs="Times New Roman"/>
        </w:rPr>
      </w:pPr>
      <w:r w:rsidRPr="00BE108E">
        <w:rPr>
          <w:rFonts w:cs="Times New Roman"/>
        </w:rPr>
        <w:t>В 2014 году открыто 2 службы «Социальное такси», 5 служб «Надомные сиделки»</w:t>
      </w:r>
      <w:r w:rsidR="0055692C">
        <w:rPr>
          <w:rFonts w:cs="Times New Roman"/>
        </w:rPr>
        <w:t>,</w:t>
      </w:r>
      <w:r w:rsidRPr="00BE108E">
        <w:rPr>
          <w:rFonts w:cs="Times New Roman"/>
        </w:rPr>
        <w:t xml:space="preserve"> 2 службы «Мобильная социальная бригада», отделение дневного пребывания для молодых инвалидов (Мончегорский КЦСОН).</w:t>
      </w:r>
    </w:p>
    <w:p w:rsidR="00FF4E43" w:rsidRPr="00BE108E" w:rsidRDefault="00FF4E43" w:rsidP="0055692C">
      <w:pPr>
        <w:rPr>
          <w:rFonts w:cs="Times New Roman"/>
        </w:rPr>
      </w:pPr>
      <w:proofErr w:type="gramStart"/>
      <w:r w:rsidRPr="00BE108E">
        <w:rPr>
          <w:rFonts w:cs="Times New Roman"/>
        </w:rPr>
        <w:t xml:space="preserve">Для семей, в которых дети-инвалиды ограничены в передвижении и общении и нуждаются в постоянной посторонней помощи, в 2014 году в Кандалакшском и Полярнинском комплексных центрах дополнительно открыты службы домашнего сопровождения. </w:t>
      </w:r>
      <w:proofErr w:type="gramEnd"/>
    </w:p>
    <w:p w:rsidR="00FF4E43" w:rsidRPr="00BE108E" w:rsidRDefault="00FF4E43" w:rsidP="0055692C">
      <w:pPr>
        <w:rPr>
          <w:rFonts w:cs="Times New Roman"/>
        </w:rPr>
      </w:pPr>
      <w:proofErr w:type="gramStart"/>
      <w:r w:rsidRPr="00BE108E">
        <w:rPr>
          <w:rFonts w:cs="Times New Roman"/>
        </w:rPr>
        <w:t>В полном объеме исполнено 10 предписаний надзорных органов, в целях приведения учреждений в соответствие требованиям СанПиН проведены капитальные и текущие ремонты зданий, помещений и инженерных сетей в 20 учреждениях социального обслуживания населения.</w:t>
      </w:r>
      <w:proofErr w:type="gramEnd"/>
      <w:r w:rsidRPr="00BE108E">
        <w:rPr>
          <w:rFonts w:cs="Times New Roman"/>
        </w:rPr>
        <w:t xml:space="preserve"> Разработана проектно-</w:t>
      </w:r>
      <w:r w:rsidRPr="00BE108E">
        <w:rPr>
          <w:rFonts w:cs="Times New Roman"/>
        </w:rPr>
        <w:lastRenderedPageBreak/>
        <w:t>сметная документация для производства работ в целях устранения 8 нарушений по выписанным предписаниям.</w:t>
      </w:r>
    </w:p>
    <w:p w:rsidR="00FF4E43" w:rsidRPr="00BE108E" w:rsidRDefault="00FF4E43" w:rsidP="0055692C">
      <w:pPr>
        <w:rPr>
          <w:rFonts w:cs="Times New Roman"/>
        </w:rPr>
      </w:pPr>
      <w:r w:rsidRPr="00BE108E">
        <w:rPr>
          <w:rFonts w:cs="Times New Roman"/>
        </w:rPr>
        <w:t xml:space="preserve">В </w:t>
      </w:r>
      <w:proofErr w:type="gramStart"/>
      <w:r w:rsidRPr="00BE108E">
        <w:rPr>
          <w:rFonts w:cs="Times New Roman"/>
        </w:rPr>
        <w:t>целях</w:t>
      </w:r>
      <w:proofErr w:type="gramEnd"/>
      <w:r w:rsidRPr="00BE108E">
        <w:rPr>
          <w:rFonts w:cs="Times New Roman"/>
        </w:rPr>
        <w:t xml:space="preserve"> усиления транспортной безопасности в 2 учреждениях на 3 автотранспортных средствах для перевозки людей установлены тахографы и в 5 учреждениях на 5 автотранспортных средствах социального назначения установлено оборудование системы ГЛОНАСС.</w:t>
      </w:r>
    </w:p>
    <w:p w:rsidR="00FF4E43" w:rsidRPr="00BE108E" w:rsidRDefault="00FF4E43" w:rsidP="0055692C">
      <w:pPr>
        <w:rPr>
          <w:rFonts w:cs="Times New Roman"/>
        </w:rPr>
      </w:pPr>
      <w:r w:rsidRPr="00BE108E">
        <w:rPr>
          <w:rFonts w:cs="Times New Roman"/>
        </w:rPr>
        <w:t>Провед</w:t>
      </w:r>
      <w:r w:rsidR="00265124" w:rsidRPr="00BE108E">
        <w:rPr>
          <w:rFonts w:cs="Times New Roman"/>
        </w:rPr>
        <w:t>е</w:t>
      </w:r>
      <w:r w:rsidRPr="00BE108E">
        <w:rPr>
          <w:rFonts w:cs="Times New Roman"/>
        </w:rPr>
        <w:t>н конкурс среди социально ориентированных некоммерческих организаций (СО НКО) на получение финансовой поддержки.</w:t>
      </w:r>
      <w:r w:rsidR="00BF2C89" w:rsidRPr="00BE108E">
        <w:rPr>
          <w:rFonts w:cs="Times New Roman"/>
        </w:rPr>
        <w:t xml:space="preserve"> </w:t>
      </w:r>
      <w:r w:rsidRPr="00BE108E">
        <w:rPr>
          <w:rFonts w:cs="Times New Roman"/>
        </w:rPr>
        <w:t xml:space="preserve">На основании заключенных соглашений средства субсидии перечислены 35 СО НКО </w:t>
      </w:r>
      <w:r w:rsidR="00265124" w:rsidRPr="00BE108E">
        <w:rPr>
          <w:rFonts w:cs="Times New Roman"/>
        </w:rPr>
        <w:t>–</w:t>
      </w:r>
      <w:r w:rsidRPr="00BE108E">
        <w:rPr>
          <w:rFonts w:cs="Times New Roman"/>
        </w:rPr>
        <w:t xml:space="preserve"> победителям конкурсного отбора. Оказанная финансовая поддержка позволила реализовать социально значимые программы (проекты).</w:t>
      </w:r>
    </w:p>
    <w:p w:rsidR="00FF4E43" w:rsidRPr="00BE108E" w:rsidRDefault="00FF4E43" w:rsidP="0055692C">
      <w:pPr>
        <w:rPr>
          <w:rFonts w:cs="Times New Roman"/>
          <w:b/>
        </w:rPr>
      </w:pPr>
      <w:proofErr w:type="gramStart"/>
      <w:r w:rsidRPr="00BE108E">
        <w:rPr>
          <w:rFonts w:eastAsia="Times New Roman" w:cs="Times New Roman"/>
          <w:bCs/>
        </w:rPr>
        <w:t>В рамках реализации мероприятий по</w:t>
      </w:r>
      <w:r w:rsidRPr="00BE108E">
        <w:rPr>
          <w:rFonts w:eastAsia="Times New Roman" w:cs="Times New Roman"/>
          <w:b/>
          <w:bCs/>
        </w:rPr>
        <w:t xml:space="preserve"> улучшению положения и качества жизни социально уязвимых слоев населения </w:t>
      </w:r>
      <w:r w:rsidRPr="00BE108E">
        <w:rPr>
          <w:rFonts w:eastAsia="Times New Roman" w:cs="Times New Roman"/>
        </w:rPr>
        <w:t xml:space="preserve">созданы условия доступности для граждан с ограниченными возможностями здоровья в 19 учреждениях, подведомственных Министерству труда и социального развития Мурманской области. </w:t>
      </w:r>
      <w:proofErr w:type="gramEnd"/>
    </w:p>
    <w:p w:rsidR="00FF4E43" w:rsidRPr="00BE108E" w:rsidRDefault="00FF4E43" w:rsidP="0055692C">
      <w:pPr>
        <w:rPr>
          <w:rFonts w:cs="Times New Roman"/>
        </w:rPr>
      </w:pPr>
      <w:r w:rsidRPr="00BE108E">
        <w:rPr>
          <w:rFonts w:cs="Times New Roman"/>
        </w:rPr>
        <w:t>Организована работа по предоставлению субсидии за сч</w:t>
      </w:r>
      <w:r w:rsidR="00265124" w:rsidRPr="00BE108E">
        <w:rPr>
          <w:rFonts w:cs="Times New Roman"/>
        </w:rPr>
        <w:t>е</w:t>
      </w:r>
      <w:r w:rsidRPr="00BE108E">
        <w:rPr>
          <w:rFonts w:cs="Times New Roman"/>
        </w:rPr>
        <w:t>т средств федерального бюджета 10 муниципальным образованиям на софинансирование расходов на реализацию мероприятий, направленных на обеспечение доступности 30 приоритетных объектов и услуг в приоритетных сферах жизнедеятельности инвалидов и других маломобильных групп населения, включенных в муниципальные программы Мурманской области.</w:t>
      </w:r>
    </w:p>
    <w:p w:rsidR="00FF4E43" w:rsidRPr="00BE108E" w:rsidRDefault="00FF4E43" w:rsidP="0055692C">
      <w:pPr>
        <w:rPr>
          <w:rFonts w:cs="Times New Roman"/>
        </w:rPr>
      </w:pPr>
      <w:r w:rsidRPr="00BE108E">
        <w:rPr>
          <w:rFonts w:cs="Times New Roman"/>
        </w:rPr>
        <w:t>Реализованы мероприятия по созданию условий для развития физической культуры и спорта для инвалидов, а также созданию доступной информационной среды.</w:t>
      </w:r>
    </w:p>
    <w:p w:rsidR="00FF4E43" w:rsidRPr="00BE108E" w:rsidRDefault="00FF4E43" w:rsidP="0055692C">
      <w:pPr>
        <w:rPr>
          <w:rFonts w:cs="Times New Roman"/>
        </w:rPr>
      </w:pPr>
      <w:r w:rsidRPr="00BE108E">
        <w:rPr>
          <w:rFonts w:cs="Times New Roman"/>
        </w:rPr>
        <w:t>В результате проведенной работы и эффективного освоения федеральной субсидии удалось существенно перевыполнить плановое значение показателя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Мурманской области» (95</w:t>
      </w:r>
      <w:r w:rsidR="00BF2C89" w:rsidRPr="00BE108E">
        <w:rPr>
          <w:rFonts w:cs="Times New Roman"/>
        </w:rPr>
        <w:t>%</w:t>
      </w:r>
      <w:r w:rsidRPr="00BE108E">
        <w:rPr>
          <w:rFonts w:cs="Times New Roman"/>
        </w:rPr>
        <w:t xml:space="preserve"> </w:t>
      </w:r>
      <w:proofErr w:type="gramStart"/>
      <w:r w:rsidRPr="00BE108E">
        <w:rPr>
          <w:rFonts w:cs="Times New Roman"/>
        </w:rPr>
        <w:t>против</w:t>
      </w:r>
      <w:proofErr w:type="gramEnd"/>
      <w:r w:rsidRPr="00BE108E">
        <w:rPr>
          <w:rFonts w:cs="Times New Roman"/>
        </w:rPr>
        <w:t xml:space="preserve"> плановых 25%).</w:t>
      </w:r>
    </w:p>
    <w:p w:rsidR="00FF4E43" w:rsidRPr="00BE108E" w:rsidRDefault="00FF4E43" w:rsidP="0055692C">
      <w:pPr>
        <w:rPr>
          <w:rFonts w:cs="Times New Roman"/>
        </w:rPr>
      </w:pPr>
      <w:r w:rsidRPr="00BE108E">
        <w:rPr>
          <w:rFonts w:cs="Times New Roman"/>
        </w:rPr>
        <w:t xml:space="preserve">Доля инвалидов, положительно оценивающих отношение населения к проблемам инвалидов, в общей </w:t>
      </w:r>
      <w:proofErr w:type="gramStart"/>
      <w:r w:rsidRPr="00BE108E">
        <w:rPr>
          <w:rFonts w:cs="Times New Roman"/>
        </w:rPr>
        <w:t>численности</w:t>
      </w:r>
      <w:proofErr w:type="gramEnd"/>
      <w:r w:rsidRPr="00BE108E">
        <w:rPr>
          <w:rFonts w:cs="Times New Roman"/>
        </w:rPr>
        <w:t xml:space="preserve"> опрошенных инвалидов в Мурманской области увеличилась до 68% против 63% в 2013 году.</w:t>
      </w:r>
    </w:p>
    <w:p w:rsidR="00FF4E43" w:rsidRPr="00BE108E" w:rsidRDefault="00FF4E43" w:rsidP="0055692C">
      <w:pPr>
        <w:rPr>
          <w:rFonts w:cs="Times New Roman"/>
          <w:b/>
        </w:rPr>
      </w:pPr>
      <w:proofErr w:type="gramStart"/>
      <w:r w:rsidRPr="00BE108E">
        <w:rPr>
          <w:rFonts w:cs="Times New Roman"/>
        </w:rPr>
        <w:t>В рамках обеспечения социальных гарантий и усиления адресной направленности мер социальной поддержки населению реализованы мероприятия, являю</w:t>
      </w:r>
      <w:r w:rsidR="00167178">
        <w:rPr>
          <w:rFonts w:cs="Times New Roman"/>
        </w:rPr>
        <w:t>щие</w:t>
      </w:r>
      <w:r w:rsidRPr="00BE108E">
        <w:rPr>
          <w:rFonts w:cs="Times New Roman"/>
        </w:rPr>
        <w:t>ся публичными и публично-нормативными обязательствами Российской Федерации и Мурманской области, финансирование которых осуществляется за счет федерального и областного бюджетов.</w:t>
      </w:r>
      <w:proofErr w:type="gramEnd"/>
    </w:p>
    <w:p w:rsidR="00FF4E43" w:rsidRPr="00BE108E" w:rsidRDefault="00FF4E43" w:rsidP="0055692C">
      <w:pPr>
        <w:rPr>
          <w:rFonts w:cs="Times New Roman"/>
        </w:rPr>
      </w:pPr>
      <w:r w:rsidRPr="00BE108E">
        <w:rPr>
          <w:rFonts w:cs="Times New Roman"/>
        </w:rPr>
        <w:t>Социальные гарантии и меры социальной поддержки по итогам 2014 года предоставлены 310,5 тыс. граждан на общую сумму 6 332,2 млн. рублей. Доля граждан, охваченных мерами социальной поддержки, от обще</w:t>
      </w:r>
      <w:r w:rsidR="00167178">
        <w:rPr>
          <w:rFonts w:cs="Times New Roman"/>
        </w:rPr>
        <w:t>й</w:t>
      </w:r>
      <w:r w:rsidRPr="00BE108E">
        <w:rPr>
          <w:rFonts w:cs="Times New Roman"/>
        </w:rPr>
        <w:t xml:space="preserve"> числ</w:t>
      </w:r>
      <w:r w:rsidR="00167178">
        <w:rPr>
          <w:rFonts w:cs="Times New Roman"/>
        </w:rPr>
        <w:t>енности</w:t>
      </w:r>
      <w:r w:rsidRPr="00BE108E">
        <w:rPr>
          <w:rFonts w:cs="Times New Roman"/>
        </w:rPr>
        <w:t xml:space="preserve"> населения области составила 40,5% (2013 год – 38,1%).</w:t>
      </w:r>
    </w:p>
    <w:p w:rsidR="00FF4E43" w:rsidRPr="00BE108E" w:rsidRDefault="00FF4E43" w:rsidP="0055692C">
      <w:r w:rsidRPr="00BE108E">
        <w:lastRenderedPageBreak/>
        <w:t>В 2014 году в рамках мероприятий, направленных на дополнительную социальную поддержку различных категорий из числа граждан старших возрастов, получили единовременные выплаты</w:t>
      </w:r>
      <w:r w:rsidR="00BF2C89" w:rsidRPr="00BE108E">
        <w:t xml:space="preserve"> </w:t>
      </w:r>
      <w:r w:rsidRPr="00BE108E">
        <w:t>92,9 тыс. человек.</w:t>
      </w:r>
    </w:p>
    <w:p w:rsidR="00FF4E43" w:rsidRPr="00BE108E" w:rsidRDefault="00FF4E43" w:rsidP="0055692C">
      <w:pPr>
        <w:rPr>
          <w:rFonts w:eastAsia="Times New Roman" w:cs="Times New Roman"/>
        </w:rPr>
      </w:pPr>
      <w:proofErr w:type="gramStart"/>
      <w:r w:rsidRPr="00BE108E">
        <w:rPr>
          <w:rFonts w:eastAsia="Times New Roman" w:cs="Times New Roman"/>
        </w:rPr>
        <w:t xml:space="preserve">В целях оказания дополнительной социальной поддержки гражданам, имеющим инвалидность, в 2014 году закуплены 130 технических средств реабилитации, не входящих в федеральный перечень (цифровые голосовые маркеры, многофункциональные телефоны для слепых, ходунки четырехколесные для инвалидов, </w:t>
      </w:r>
      <w:proofErr w:type="spellStart"/>
      <w:r w:rsidRPr="00BE108E">
        <w:rPr>
          <w:rFonts w:eastAsia="Times New Roman" w:cs="Times New Roman"/>
        </w:rPr>
        <w:t>вибробудильники</w:t>
      </w:r>
      <w:proofErr w:type="spellEnd"/>
      <w:r w:rsidRPr="00BE108E">
        <w:rPr>
          <w:rFonts w:eastAsia="Times New Roman" w:cs="Times New Roman"/>
        </w:rPr>
        <w:t xml:space="preserve"> в форме наручных часов).</w:t>
      </w:r>
      <w:proofErr w:type="gramEnd"/>
      <w:r w:rsidRPr="00BE108E">
        <w:rPr>
          <w:rFonts w:eastAsia="Times New Roman" w:cs="Times New Roman"/>
        </w:rPr>
        <w:t xml:space="preserve"> Список технических средств реабилитации был сформирован на основании предложений, поступивших от общественных организаций инвалидов. </w:t>
      </w:r>
    </w:p>
    <w:p w:rsidR="00FF4E43" w:rsidRPr="00BE108E" w:rsidRDefault="00FF4E43" w:rsidP="0055692C">
      <w:pPr>
        <w:rPr>
          <w:rFonts w:cs="Times New Roman"/>
        </w:rPr>
      </w:pPr>
      <w:proofErr w:type="gramStart"/>
      <w:r w:rsidRPr="00BE108E">
        <w:rPr>
          <w:rFonts w:cs="Times New Roman"/>
        </w:rPr>
        <w:t>В рамках мероприятий по организации оздоровления отдельных категорий граждан в санаториях Мурманской области и за е</w:t>
      </w:r>
      <w:r w:rsidR="00265124" w:rsidRPr="00BE108E">
        <w:rPr>
          <w:rFonts w:cs="Times New Roman"/>
        </w:rPr>
        <w:t>е</w:t>
      </w:r>
      <w:r w:rsidRPr="00BE108E">
        <w:rPr>
          <w:rFonts w:cs="Times New Roman"/>
        </w:rPr>
        <w:t xml:space="preserve"> пределами</w:t>
      </w:r>
      <w:r w:rsidR="00BF2C89" w:rsidRPr="00BE108E">
        <w:rPr>
          <w:rFonts w:cs="Times New Roman"/>
        </w:rPr>
        <w:t xml:space="preserve"> </w:t>
      </w:r>
      <w:r w:rsidRPr="00BE108E">
        <w:rPr>
          <w:rFonts w:cs="Times New Roman"/>
        </w:rPr>
        <w:t>о</w:t>
      </w:r>
      <w:r w:rsidRPr="00BE108E">
        <w:rPr>
          <w:rFonts w:cs="Times New Roman"/>
          <w:iCs/>
        </w:rPr>
        <w:t xml:space="preserve">рганизовано оздоровление и отдых в санаториях Мурманской области 60 граждан, относящихся к категории реабилитированных лиц и лиц, признанных пострадавшими от политических репрессий </w:t>
      </w:r>
      <w:r w:rsidRPr="00BE108E">
        <w:rPr>
          <w:rFonts w:cs="Times New Roman"/>
        </w:rPr>
        <w:t>и 1239 лиц старше 70 лет.</w:t>
      </w:r>
      <w:proofErr w:type="gramEnd"/>
    </w:p>
    <w:p w:rsidR="00FF4E43" w:rsidRPr="00BE108E" w:rsidRDefault="00FF4E43" w:rsidP="0055692C">
      <w:pPr>
        <w:rPr>
          <w:rFonts w:cs="Times New Roman"/>
          <w:bCs/>
        </w:rPr>
      </w:pPr>
      <w:proofErr w:type="gramStart"/>
      <w:r w:rsidRPr="00BE108E">
        <w:rPr>
          <w:rFonts w:cs="Times New Roman"/>
          <w:bCs/>
        </w:rPr>
        <w:t>Организовано лечение и отдых в санаториях за пределами Мурманской области 1685 граждан, относящихся к категориям Ветеранов Великой Отечественной войны, ветеранов труда, ветеранов труда Мурманской области, тружеников тыла, реабилитированных лиц и лиц, признанных пострадавшими от политических репрессий, и 1264 работающих граждан и их детей (до 18 лет) из числа</w:t>
      </w:r>
      <w:r w:rsidR="00BF2C89" w:rsidRPr="00BE108E">
        <w:rPr>
          <w:rFonts w:cs="Times New Roman"/>
          <w:bCs/>
        </w:rPr>
        <w:t xml:space="preserve"> </w:t>
      </w:r>
      <w:r w:rsidRPr="00BE108E">
        <w:rPr>
          <w:rFonts w:cs="Times New Roman"/>
          <w:bCs/>
        </w:rPr>
        <w:t xml:space="preserve">работников государственных областных и муниципальных учреждений. </w:t>
      </w:r>
      <w:proofErr w:type="gramEnd"/>
    </w:p>
    <w:p w:rsidR="00FF4E43" w:rsidRPr="00BE108E" w:rsidRDefault="00FF4E43" w:rsidP="0055692C">
      <w:pPr>
        <w:rPr>
          <w:rFonts w:cs="Times New Roman"/>
          <w:bCs/>
        </w:rPr>
      </w:pPr>
      <w:r w:rsidRPr="00BE108E">
        <w:rPr>
          <w:rFonts w:cs="Times New Roman"/>
          <w:bCs/>
        </w:rPr>
        <w:t>В рамках обеспечения медико-социальной помощью отдельных категорий граждан реализованы мероприятия</w:t>
      </w:r>
      <w:r w:rsidR="00BF2C89" w:rsidRPr="00BE108E">
        <w:rPr>
          <w:rFonts w:cs="Times New Roman"/>
          <w:bCs/>
        </w:rPr>
        <w:t xml:space="preserve"> </w:t>
      </w:r>
      <w:r w:rsidRPr="00BE108E">
        <w:rPr>
          <w:rFonts w:cs="Times New Roman"/>
          <w:bCs/>
        </w:rPr>
        <w:t xml:space="preserve">по бесплатному обеспечению слуховыми аппаратами отдельных категорий граждан, бесплатному изготовлению и ремонту зубных </w:t>
      </w:r>
      <w:proofErr w:type="gramStart"/>
      <w:r w:rsidRPr="00BE108E">
        <w:rPr>
          <w:rFonts w:cs="Times New Roman"/>
          <w:bCs/>
        </w:rPr>
        <w:t>протезов</w:t>
      </w:r>
      <w:proofErr w:type="gramEnd"/>
      <w:r w:rsidRPr="00BE108E">
        <w:rPr>
          <w:rFonts w:cs="Times New Roman"/>
          <w:bCs/>
        </w:rPr>
        <w:t xml:space="preserve"> отдельным категориям граждан, реализации мер социальной поддержки больным туберкулезом.</w:t>
      </w:r>
    </w:p>
    <w:p w:rsidR="00FF4E43" w:rsidRPr="00BE108E" w:rsidRDefault="00FF4E43" w:rsidP="0055692C">
      <w:pPr>
        <w:rPr>
          <w:rFonts w:cs="Times New Roman"/>
          <w:bCs/>
        </w:rPr>
      </w:pPr>
      <w:proofErr w:type="gramStart"/>
      <w:r w:rsidRPr="00BE108E">
        <w:rPr>
          <w:rFonts w:cs="Times New Roman"/>
          <w:bCs/>
        </w:rPr>
        <w:t>В целях обеспечения</w:t>
      </w:r>
      <w:r w:rsidRPr="00BE108E">
        <w:rPr>
          <w:rFonts w:cs="Times New Roman"/>
          <w:b/>
          <w:bCs/>
        </w:rPr>
        <w:t xml:space="preserve"> развития семейных форм устройства и оказания мер социальной поддержки детям-сиротам и детям, оставшимся без попечения родителей, лицам из их числа</w:t>
      </w:r>
      <w:r w:rsidRPr="00BE108E">
        <w:rPr>
          <w:rFonts w:cs="Times New Roman"/>
          <w:bCs/>
        </w:rPr>
        <w:t xml:space="preserve"> реализованы мероприятия по социальной поддержке граждан, принявших на воспитание в семью детей-сирот и детей, оставшихся без попечения родителей, а так же социальному обеспечению детей-сирот и детей, оставшихся без попечения родителей, лиц из их числа.</w:t>
      </w:r>
      <w:proofErr w:type="gramEnd"/>
    </w:p>
    <w:p w:rsidR="00FF4E43" w:rsidRPr="00BE108E" w:rsidRDefault="00FF4E43" w:rsidP="0055692C">
      <w:pPr>
        <w:rPr>
          <w:rFonts w:cs="Times New Roman"/>
        </w:rPr>
      </w:pPr>
      <w:proofErr w:type="gramStart"/>
      <w:r w:rsidRPr="00BE108E">
        <w:rPr>
          <w:rFonts w:cs="Times New Roman"/>
        </w:rPr>
        <w:t xml:space="preserve">В результате успешной деятельности Служб по подготовке кандидатов в усыновители, опекуны (попечители), приемные родители, по сопровождению замещающих семей на 1,5% превышено значение планового показателя «доля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(85,5%, против 84%). </w:t>
      </w:r>
      <w:proofErr w:type="gramEnd"/>
    </w:p>
    <w:p w:rsidR="00FF4E43" w:rsidRPr="00BE108E" w:rsidRDefault="00FF4E43" w:rsidP="0055692C">
      <w:pPr>
        <w:rPr>
          <w:rFonts w:cs="Times New Roman"/>
        </w:rPr>
      </w:pPr>
      <w:r w:rsidRPr="00BE108E">
        <w:rPr>
          <w:rFonts w:cs="Times New Roman"/>
        </w:rPr>
        <w:t xml:space="preserve">Реализовано в полном объеме право детей-сирот и детей, оставшихся без попечения родителей, лиц из их числа, воспитывающихся (обучающихся) в образовательных организациях, на полное государственное обеспечение за счет средств областного бюджета. </w:t>
      </w:r>
    </w:p>
    <w:p w:rsidR="00FF4E43" w:rsidRPr="00BE108E" w:rsidRDefault="00FF4E43" w:rsidP="0055692C">
      <w:pPr>
        <w:rPr>
          <w:rFonts w:cs="Times New Roman"/>
        </w:rPr>
      </w:pPr>
      <w:proofErr w:type="gramStart"/>
      <w:r w:rsidRPr="00BE108E">
        <w:rPr>
          <w:rFonts w:cs="Times New Roman"/>
        </w:rPr>
        <w:lastRenderedPageBreak/>
        <w:t>Показатель «</w:t>
      </w:r>
      <w:r w:rsidR="0055692C">
        <w:rPr>
          <w:rFonts w:cs="Times New Roman"/>
        </w:rPr>
        <w:t>ч</w:t>
      </w:r>
      <w:r w:rsidRPr="00BE108E">
        <w:rPr>
          <w:rFonts w:cs="Times New Roman"/>
        </w:rPr>
        <w:t>исло детей-сирот и детей, оставшихся без попечения родителей, лиц из их числа, обеспеченных жилыми помещениями специализированного жилищного фонда по договорам найма специализированных жилых помещений»</w:t>
      </w:r>
      <w:r w:rsidR="00BF2C89" w:rsidRPr="00BE108E">
        <w:rPr>
          <w:rFonts w:cs="Times New Roman"/>
        </w:rPr>
        <w:t xml:space="preserve"> </w:t>
      </w:r>
      <w:r w:rsidRPr="00BE108E">
        <w:rPr>
          <w:rFonts w:cs="Times New Roman"/>
        </w:rPr>
        <w:t>достигнут в полном объеме, с учетом изменений, внесенных в список детей-сирот, нуждающихся в обеспечении жильем, жилые помещения в 2014 году предоставлены 138 детям-сиротам (плановый показатель – 135 человек).</w:t>
      </w:r>
      <w:proofErr w:type="gramEnd"/>
    </w:p>
    <w:p w:rsidR="00FF4E43" w:rsidRPr="00BE108E" w:rsidRDefault="00FF4E43" w:rsidP="0055692C">
      <w:pPr>
        <w:rPr>
          <w:rFonts w:cs="Times New Roman"/>
          <w:b/>
        </w:rPr>
      </w:pPr>
      <w:r w:rsidRPr="00BE108E">
        <w:rPr>
          <w:rFonts w:cs="Times New Roman"/>
          <w:bCs/>
        </w:rPr>
        <w:t xml:space="preserve">В </w:t>
      </w:r>
      <w:proofErr w:type="gramStart"/>
      <w:r w:rsidRPr="00BE108E">
        <w:rPr>
          <w:rFonts w:cs="Times New Roman"/>
          <w:bCs/>
        </w:rPr>
        <w:t>рамках</w:t>
      </w:r>
      <w:proofErr w:type="gramEnd"/>
      <w:r w:rsidRPr="00BE108E">
        <w:rPr>
          <w:rFonts w:cs="Times New Roman"/>
          <w:b/>
          <w:bCs/>
        </w:rPr>
        <w:t xml:space="preserve"> улучшения условий и охраны труда Мурманской области </w:t>
      </w:r>
      <w:r w:rsidRPr="00BE108E">
        <w:rPr>
          <w:rFonts w:cs="Times New Roman"/>
        </w:rPr>
        <w:t>в 4 подведомственных Министерству труда и социального развития Мурманской области учреждениях проведена специальная оценка условий труда на 258 рабочих местах.</w:t>
      </w:r>
    </w:p>
    <w:p w:rsidR="00FF4E43" w:rsidRPr="00BE108E" w:rsidRDefault="00FF4E43" w:rsidP="0055692C">
      <w:pPr>
        <w:rPr>
          <w:rFonts w:cs="Times New Roman"/>
        </w:rPr>
      </w:pPr>
      <w:r w:rsidRPr="00BE108E">
        <w:rPr>
          <w:rFonts w:cs="Times New Roman"/>
        </w:rPr>
        <w:t>Оказана консультативная и организационная помощь организациям, проводящим специальную оценку условий труда, в том числе по разработке и реализации мероприятий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За счет средств Фонда профинансированы мероприятия по обеспечению работающих средствами индивидуальной защиты, обучению по охране труда руководителей и специалистов организаций.</w:t>
      </w:r>
    </w:p>
    <w:p w:rsidR="00FF4E43" w:rsidRPr="00BE108E" w:rsidRDefault="00FF4E43" w:rsidP="0055692C">
      <w:pPr>
        <w:rPr>
          <w:rFonts w:cs="Times New Roman"/>
        </w:rPr>
      </w:pPr>
      <w:proofErr w:type="gramStart"/>
      <w:r w:rsidRPr="00BE108E">
        <w:rPr>
          <w:rFonts w:cs="Times New Roman"/>
        </w:rPr>
        <w:t>В связи с возросшим интересом работодателей к финансовому обеспечению предупредительных мер, осуществляемых за счет сумм страховых взносов на обязательное социальное страхование от несчастных случаев на производстве и профессиональных заболеваний, в 2 раза по сравнению с 2013 годом увеличился темп роста финансирования предупредительных мер по сокращению производственного травматизма и профессиональной заболеваемости работников организаций за счет средств Фонда.</w:t>
      </w:r>
      <w:proofErr w:type="gramEnd"/>
    </w:p>
    <w:p w:rsidR="00FF4E43" w:rsidRPr="00BE108E" w:rsidRDefault="00FF4E43" w:rsidP="0055692C">
      <w:pPr>
        <w:rPr>
          <w:rFonts w:cs="Times New Roman"/>
        </w:rPr>
      </w:pPr>
      <w:r w:rsidRPr="00BE108E">
        <w:rPr>
          <w:rFonts w:cs="Times New Roman"/>
        </w:rPr>
        <w:t xml:space="preserve">Реализованы мероприятия по содействию повышению качества обучения и эффективности работы аккредитованных организаций, проводящих обучение и проверку </w:t>
      </w:r>
      <w:proofErr w:type="gramStart"/>
      <w:r w:rsidRPr="00BE108E">
        <w:rPr>
          <w:rFonts w:cs="Times New Roman"/>
        </w:rPr>
        <w:t>знаний требований охраны труда руководителей</w:t>
      </w:r>
      <w:proofErr w:type="gramEnd"/>
      <w:r w:rsidRPr="00BE108E">
        <w:rPr>
          <w:rFonts w:cs="Times New Roman"/>
        </w:rPr>
        <w:t xml:space="preserve"> и специалистов,</w:t>
      </w:r>
      <w:r w:rsidR="00BF2C89" w:rsidRPr="00BE108E">
        <w:rPr>
          <w:rFonts w:cs="Times New Roman"/>
        </w:rPr>
        <w:t xml:space="preserve"> </w:t>
      </w:r>
      <w:r w:rsidRPr="00BE108E">
        <w:rPr>
          <w:rFonts w:cs="Times New Roman"/>
        </w:rPr>
        <w:t>совершенствованию нормативно-правовой базы Мурманской области в области охраны труда,</w:t>
      </w:r>
      <w:r w:rsidR="00BF2C89" w:rsidRPr="00BE108E">
        <w:rPr>
          <w:rFonts w:cs="Times New Roman"/>
        </w:rPr>
        <w:t xml:space="preserve"> </w:t>
      </w:r>
      <w:r w:rsidRPr="00BE108E">
        <w:rPr>
          <w:rFonts w:cs="Times New Roman"/>
        </w:rPr>
        <w:t>информационному обеспечению и пропаганде охраны труда.</w:t>
      </w:r>
    </w:p>
    <w:p w:rsidR="00FF4E43" w:rsidRPr="00BE108E" w:rsidRDefault="00FF4E43" w:rsidP="0055692C">
      <w:pPr>
        <w:rPr>
          <w:rFonts w:cs="Times New Roman"/>
          <w:bCs/>
        </w:rPr>
      </w:pPr>
      <w:r w:rsidRPr="00BE108E">
        <w:rPr>
          <w:rFonts w:cs="Times New Roman"/>
          <w:bCs/>
        </w:rPr>
        <w:t>По показателям, устанавливаемым исходя из количества рабочих мест, на которых в отчетном году проведена специальная оценка условий труда, наблюдается существенное превышение плановых значений в связи с отсутствием на момент формирования прогнозных значений методологии, регламентирующей проведение процедуры специальной оценки условий труда.</w:t>
      </w:r>
    </w:p>
    <w:p w:rsidR="00FF4E43" w:rsidRPr="00BE108E" w:rsidRDefault="00FF4E43" w:rsidP="0055692C">
      <w:pPr>
        <w:rPr>
          <w:rFonts w:cs="Times New Roman"/>
          <w:bCs/>
        </w:rPr>
      </w:pPr>
      <w:r w:rsidRPr="00BE108E">
        <w:rPr>
          <w:rFonts w:cs="Times New Roman"/>
          <w:bCs/>
        </w:rPr>
        <w:t>Всего на 2014 год по государственной программе были предусмотрены к выполнению 56 показателей целей и задач, из них значительно перевыполнены 7 показателей (в том числе 5 по результатам реализации мероприятий в сфере улучшения условий охраны труда), высокая степень достижения отмечается по</w:t>
      </w:r>
      <w:r w:rsidR="00BF2C89" w:rsidRPr="00BE108E">
        <w:rPr>
          <w:rFonts w:cs="Times New Roman"/>
          <w:bCs/>
        </w:rPr>
        <w:t xml:space="preserve"> </w:t>
      </w:r>
      <w:r w:rsidRPr="00BE108E">
        <w:rPr>
          <w:rFonts w:cs="Times New Roman"/>
          <w:bCs/>
        </w:rPr>
        <w:t>43 показателям, средняя – по 6. Средняя степень достижения показателей государственной программы – 122,4</w:t>
      </w:r>
      <w:r w:rsidR="00BF2C89" w:rsidRPr="00BE108E">
        <w:rPr>
          <w:rFonts w:cs="Times New Roman"/>
          <w:bCs/>
        </w:rPr>
        <w:t>%</w:t>
      </w:r>
      <w:r w:rsidRPr="00BE108E">
        <w:rPr>
          <w:rFonts w:cs="Times New Roman"/>
          <w:bCs/>
        </w:rPr>
        <w:t>.</w:t>
      </w:r>
    </w:p>
    <w:p w:rsidR="00FF4E43" w:rsidRPr="00BE108E" w:rsidRDefault="00FF4E43" w:rsidP="0055692C">
      <w:pPr>
        <w:rPr>
          <w:rFonts w:cs="Times New Roman"/>
        </w:rPr>
      </w:pPr>
      <w:r w:rsidRPr="00BE108E">
        <w:rPr>
          <w:rFonts w:cs="Times New Roman"/>
        </w:rPr>
        <w:t xml:space="preserve">Значение </w:t>
      </w:r>
      <w:proofErr w:type="gramStart"/>
      <w:r w:rsidRPr="00BE108E">
        <w:rPr>
          <w:rFonts w:cs="Times New Roman"/>
        </w:rPr>
        <w:t>критерия оценки эффективности реализации государственной программы</w:t>
      </w:r>
      <w:proofErr w:type="gramEnd"/>
      <w:r w:rsidRPr="00BE108E">
        <w:rPr>
          <w:rFonts w:cs="Times New Roman"/>
        </w:rPr>
        <w:t xml:space="preserve"> составил</w:t>
      </w:r>
      <w:r w:rsidR="00167178">
        <w:rPr>
          <w:rFonts w:cs="Times New Roman"/>
        </w:rPr>
        <w:t>о</w:t>
      </w:r>
      <w:r w:rsidRPr="00BE108E">
        <w:rPr>
          <w:rFonts w:cs="Times New Roman"/>
        </w:rPr>
        <w:t xml:space="preserve"> 0,95, что в соответствии с утвержденной методикой характеризует ход реализации программы как эффективный.</w:t>
      </w:r>
    </w:p>
    <w:p w:rsidR="00FF4E43" w:rsidRPr="00BE108E" w:rsidRDefault="00FF4E43" w:rsidP="00B93BB7">
      <w:pPr>
        <w:pStyle w:val="1"/>
      </w:pPr>
      <w:r w:rsidRPr="00BE108E">
        <w:lastRenderedPageBreak/>
        <w:t xml:space="preserve">Государственная программа </w:t>
      </w:r>
      <w:r w:rsidR="00B93BB7" w:rsidRPr="00BE108E">
        <w:t xml:space="preserve">4 </w:t>
      </w:r>
      <w:r w:rsidRPr="00BE108E">
        <w:t>«Развитие физической культуры и спорта»</w:t>
      </w:r>
    </w:p>
    <w:p w:rsidR="00D064E3" w:rsidRPr="00BE108E" w:rsidRDefault="00D064E3" w:rsidP="00D064E3">
      <w:pPr>
        <w:rPr>
          <w:rStyle w:val="FontStyle14"/>
          <w:sz w:val="28"/>
          <w:szCs w:val="28"/>
        </w:rPr>
      </w:pPr>
    </w:p>
    <w:p w:rsidR="00D064E3" w:rsidRPr="00BE108E" w:rsidRDefault="00D064E3" w:rsidP="00D064E3">
      <w:pPr>
        <w:ind w:firstLine="0"/>
        <w:rPr>
          <w:rStyle w:val="FontStyle14"/>
          <w:sz w:val="28"/>
          <w:szCs w:val="28"/>
        </w:rPr>
      </w:pPr>
      <w:r w:rsidRPr="00BE108E">
        <w:rPr>
          <w:noProof/>
        </w:rPr>
        <w:drawing>
          <wp:inline distT="0" distB="0" distL="0" distR="0">
            <wp:extent cx="2434856" cy="3179135"/>
            <wp:effectExtent l="0" t="0" r="22860" b="2159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Pr>
          <w:rStyle w:val="FontStyle14"/>
          <w:sz w:val="28"/>
          <w:szCs w:val="28"/>
        </w:rPr>
        <w:t xml:space="preserve"> </w:t>
      </w:r>
      <w:r w:rsidRPr="00BE108E">
        <w:rPr>
          <w:noProof/>
        </w:rPr>
        <w:drawing>
          <wp:inline distT="0" distB="0" distL="0" distR="0">
            <wp:extent cx="3551275" cy="3179135"/>
            <wp:effectExtent l="0" t="0" r="11430" b="2159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8</w:t>
      </w:r>
    </w:p>
    <w:p w:rsidR="00C13F31" w:rsidRPr="00C13F31" w:rsidRDefault="00C13F31" w:rsidP="00C13F31">
      <w:pPr>
        <w:ind w:firstLine="0"/>
        <w:jc w:val="center"/>
        <w:rPr>
          <w:sz w:val="24"/>
        </w:rPr>
      </w:pPr>
    </w:p>
    <w:p w:rsidR="00FF4E43" w:rsidRPr="00BE108E" w:rsidRDefault="00FF4E43" w:rsidP="00B93BB7">
      <w:r w:rsidRPr="00BE108E">
        <w:t>В 2014 году на реализацию государственной программы за счет всех источников финансирования предусматривалось направить 968,2 млн. рублей.</w:t>
      </w:r>
    </w:p>
    <w:p w:rsidR="00FF4E43" w:rsidRPr="00BE108E" w:rsidRDefault="00FF4E43" w:rsidP="00FF4E43">
      <w:pPr>
        <w:rPr>
          <w:rFonts w:cs="Times New Roman"/>
          <w:szCs w:val="28"/>
        </w:rPr>
      </w:pPr>
      <w:r w:rsidRPr="00BE108E">
        <w:rPr>
          <w:rFonts w:cs="Times New Roman"/>
          <w:szCs w:val="28"/>
        </w:rPr>
        <w:t>Кассовые расходы на реализацию программы составили 965,5 млн. рублей (99,7% от запланированного), в том числе из средств областного бюджета – 869,75 млн. рублей (99,9%), федерального бюджета – 95,8 млн. рублей (100%). Софинансирование мероприятия по капитальному ремонту здания дворца спорта «Металлург» в п. Никель со стороны администрации муниципального образования за отчетный период не осуществлялось, что обусловило неосвоение запланированного объема средств местного бюджета.</w:t>
      </w:r>
    </w:p>
    <w:p w:rsidR="00FF4E43" w:rsidRPr="00BE108E" w:rsidRDefault="00FF4E43" w:rsidP="00FF4E43">
      <w:pPr>
        <w:rPr>
          <w:rFonts w:cs="Times New Roman"/>
          <w:szCs w:val="28"/>
        </w:rPr>
      </w:pPr>
      <w:r w:rsidRPr="00BE108E">
        <w:rPr>
          <w:rFonts w:cs="Times New Roman"/>
          <w:szCs w:val="28"/>
        </w:rPr>
        <w:t xml:space="preserve">В </w:t>
      </w:r>
      <w:proofErr w:type="gramStart"/>
      <w:r w:rsidRPr="00BE108E">
        <w:rPr>
          <w:rFonts w:cs="Times New Roman"/>
          <w:szCs w:val="28"/>
        </w:rPr>
        <w:t>целях</w:t>
      </w:r>
      <w:proofErr w:type="gramEnd"/>
      <w:r w:rsidRPr="00BE108E">
        <w:rPr>
          <w:rFonts w:cs="Times New Roman"/>
          <w:szCs w:val="28"/>
        </w:rPr>
        <w:t xml:space="preserve"> </w:t>
      </w:r>
      <w:r w:rsidRPr="00BE108E">
        <w:rPr>
          <w:rFonts w:cs="Times New Roman"/>
          <w:b/>
          <w:szCs w:val="28"/>
        </w:rPr>
        <w:t>развития массового спорта</w:t>
      </w:r>
      <w:r w:rsidRPr="00BE108E">
        <w:rPr>
          <w:rFonts w:cs="Times New Roman"/>
          <w:szCs w:val="28"/>
        </w:rPr>
        <w:t xml:space="preserve"> в 2014 году на территории региона проведено 20 физкультурно-массовых мероприятий.</w:t>
      </w:r>
    </w:p>
    <w:p w:rsidR="00FF4E43" w:rsidRPr="00BE108E" w:rsidRDefault="00FF4E43" w:rsidP="00FF4E43">
      <w:pPr>
        <w:rPr>
          <w:rFonts w:cs="Times New Roman"/>
          <w:szCs w:val="28"/>
        </w:rPr>
      </w:pPr>
      <w:r w:rsidRPr="00BE108E">
        <w:rPr>
          <w:rFonts w:cs="Times New Roman"/>
          <w:szCs w:val="28"/>
        </w:rPr>
        <w:t xml:space="preserve">Наиболее значимыми событиями в спортивной жизни области стали Эстафета Паралимпийского огня, в которой приняло участие 17 </w:t>
      </w:r>
      <w:proofErr w:type="spellStart"/>
      <w:r w:rsidRPr="00BE108E">
        <w:rPr>
          <w:rFonts w:cs="Times New Roman"/>
          <w:szCs w:val="28"/>
        </w:rPr>
        <w:t>факелоносцев</w:t>
      </w:r>
      <w:proofErr w:type="spellEnd"/>
      <w:r w:rsidRPr="00BE108E">
        <w:rPr>
          <w:rFonts w:cs="Times New Roman"/>
          <w:szCs w:val="28"/>
        </w:rPr>
        <w:t xml:space="preserve"> и 7000 зрителей, 80 юбилейный международный традиционный Праздник Севера (участвовало 2 463 спортсменов), массовые всероссийские соревнования: «Лыжня России», соревнования по спортивному ориентированию «Российский Азимут», «Оранжевый мяч», «Кросс Наций», «День ходьбы», «Лед надежды нашей», в которых приняли участие 6 400 человек.</w:t>
      </w:r>
    </w:p>
    <w:p w:rsidR="00FF4E43" w:rsidRPr="00BE108E" w:rsidRDefault="00FF4E43" w:rsidP="00FF4E43">
      <w:pPr>
        <w:rPr>
          <w:rFonts w:cs="Times New Roman"/>
          <w:szCs w:val="28"/>
        </w:rPr>
      </w:pPr>
      <w:r w:rsidRPr="00BE108E">
        <w:rPr>
          <w:rFonts w:cs="Times New Roman"/>
          <w:szCs w:val="28"/>
        </w:rPr>
        <w:t xml:space="preserve">Во исполнение Указа Президента России «О Всероссийском физкультурно-спортивном комплексе «Готов к труду и обороне (ГТО)» в Мурманской области началось внедрение комплекса ГТО. В 2014 году проведено тестирование 2 144 обучающихся в 12 общеобразовательных организациях г. Апатиты и г. Мончегорска. В </w:t>
      </w:r>
      <w:proofErr w:type="gramStart"/>
      <w:r w:rsidRPr="00BE108E">
        <w:rPr>
          <w:rFonts w:cs="Times New Roman"/>
          <w:szCs w:val="28"/>
        </w:rPr>
        <w:t>декабре</w:t>
      </w:r>
      <w:proofErr w:type="gramEnd"/>
      <w:r w:rsidRPr="00BE108E">
        <w:rPr>
          <w:rFonts w:cs="Times New Roman"/>
          <w:szCs w:val="28"/>
        </w:rPr>
        <w:t xml:space="preserve"> 2014 года состоялась Спартакиада инвалидов, в программу которой были включены соревнования с элементами комплекса ГТО. </w:t>
      </w:r>
    </w:p>
    <w:p w:rsidR="00FF4E43" w:rsidRPr="00BE108E" w:rsidRDefault="00FF4E43" w:rsidP="00FF4E43">
      <w:pPr>
        <w:rPr>
          <w:rFonts w:cs="Times New Roman"/>
          <w:szCs w:val="28"/>
        </w:rPr>
      </w:pPr>
      <w:r w:rsidRPr="00BE108E">
        <w:rPr>
          <w:rFonts w:cs="Times New Roman"/>
          <w:szCs w:val="28"/>
        </w:rPr>
        <w:lastRenderedPageBreak/>
        <w:t>Проведен региональный этап всероссийского смотра-конкурса на лучшую постановку физкультурно-спортивной работы среди предприятий, учреждений и организаций (победителями в своих группах стали ОАО «Ковдорский ГОК» и ОАО «Мурманская ТЭЦ») и областной смотр-конкурс на лучшую спортивную площадку муниципальных образований региона (победителем стала спортивная площадка г. Мурманска).</w:t>
      </w:r>
    </w:p>
    <w:p w:rsidR="00FF4E43" w:rsidRPr="00BE108E" w:rsidRDefault="00FF4E43" w:rsidP="00FF4E43">
      <w:pPr>
        <w:rPr>
          <w:rFonts w:cs="Times New Roman"/>
          <w:szCs w:val="28"/>
        </w:rPr>
      </w:pPr>
      <w:r w:rsidRPr="00BE108E">
        <w:rPr>
          <w:rFonts w:cs="Times New Roman"/>
          <w:szCs w:val="28"/>
        </w:rPr>
        <w:t>Впервые проведена Декада спорта (для населения были предоставлены бесплатные сеансы в плавательном бассейне, Ледовом дворце, проведены соревнования по хоккею, футболу и силовой турнир «Железный Север» с участием представителей Финляндии и Литвы). По итогам проведения Декады спорта Комитет по физической культуре и спорту Мурманской области стал победителем Всероссийской акции «Я выбираю спорт!» среди органов исполнительной власти в сфере физической культуры и спорта.</w:t>
      </w:r>
    </w:p>
    <w:p w:rsidR="00FF4E43" w:rsidRPr="00BE108E" w:rsidRDefault="00FF4E43" w:rsidP="00FF4E43">
      <w:r w:rsidRPr="00BE108E">
        <w:t>На 10,7% выросла посещаемость плавательных бассейнов</w:t>
      </w:r>
      <w:r w:rsidRPr="00BE108E">
        <w:rPr>
          <w:rFonts w:eastAsia="Calibri"/>
        </w:rPr>
        <w:t xml:space="preserve"> в рамках</w:t>
      </w:r>
      <w:r w:rsidRPr="00BE108E">
        <w:t xml:space="preserve"> оздоровительного процесса для граждан пожилого возраста, инвалидов, граждан, находящихся в трудной жизненной ситуации, детей-сирот, детей, оставшихся без попечения родителей </w:t>
      </w:r>
      <w:r w:rsidRPr="00BE108E">
        <w:rPr>
          <w:rFonts w:eastAsia="Calibri"/>
        </w:rPr>
        <w:t xml:space="preserve">(37 247 посещений против </w:t>
      </w:r>
      <w:r w:rsidRPr="00BE108E">
        <w:t xml:space="preserve">33 637 </w:t>
      </w:r>
      <w:r w:rsidRPr="00BE108E">
        <w:rPr>
          <w:rFonts w:eastAsia="Calibri"/>
        </w:rPr>
        <w:t>в 2013 году</w:t>
      </w:r>
      <w:r w:rsidRPr="00BE108E">
        <w:t xml:space="preserve">), кроме того, обучено навыкам плавания 1552 детей. </w:t>
      </w:r>
    </w:p>
    <w:p w:rsidR="00FF4E43" w:rsidRPr="00BE108E" w:rsidRDefault="00FF4E43" w:rsidP="00FF4E43">
      <w:r w:rsidRPr="00BE108E">
        <w:t xml:space="preserve">В </w:t>
      </w:r>
      <w:proofErr w:type="gramStart"/>
      <w:r w:rsidRPr="00BE108E">
        <w:t>рамках</w:t>
      </w:r>
      <w:proofErr w:type="gramEnd"/>
      <w:r w:rsidRPr="00BE108E">
        <w:t xml:space="preserve"> </w:t>
      </w:r>
      <w:r w:rsidRPr="00BE108E">
        <w:rPr>
          <w:b/>
        </w:rPr>
        <w:t>развития спорта высших достижений</w:t>
      </w:r>
      <w:r w:rsidRPr="00BE108E">
        <w:t xml:space="preserve"> в Мурманской области в 2014 году проведено 192 соревновани</w:t>
      </w:r>
      <w:r w:rsidR="0055692C">
        <w:t>я</w:t>
      </w:r>
      <w:r w:rsidRPr="00BE108E">
        <w:t xml:space="preserve"> различного уровня (в том числе 50 всероссийских и международных) с общим количеством участников 18 789 человек.</w:t>
      </w:r>
    </w:p>
    <w:p w:rsidR="00FF4E43" w:rsidRPr="00BE108E" w:rsidRDefault="00FF4E43" w:rsidP="00FF4E43">
      <w:pPr>
        <w:rPr>
          <w:rFonts w:cs="Times New Roman"/>
          <w:szCs w:val="28"/>
        </w:rPr>
      </w:pPr>
      <w:r w:rsidRPr="00BE108E">
        <w:rPr>
          <w:rFonts w:cs="Times New Roman"/>
          <w:szCs w:val="28"/>
        </w:rPr>
        <w:t xml:space="preserve">Победители и призеры региональных соревнований принимали участие в 363 всероссийских и международных спортивных мероприятиях, 89 спортсменов стали победителями и призерами международных и всероссийских соревнований (в 2013 году – 45). </w:t>
      </w:r>
    </w:p>
    <w:p w:rsidR="00FF4E43" w:rsidRPr="00BE108E" w:rsidRDefault="00FF4E43" w:rsidP="00FF4E43">
      <w:pPr>
        <w:rPr>
          <w:rFonts w:cs="Times New Roman"/>
          <w:szCs w:val="28"/>
        </w:rPr>
      </w:pPr>
      <w:r w:rsidRPr="00BE108E">
        <w:rPr>
          <w:rFonts w:cs="Times New Roman"/>
          <w:szCs w:val="28"/>
        </w:rPr>
        <w:t>53 спортсмена Мурманской области включены в основный и резервный составы сборной команды Российской Федерации по видам спорта.</w:t>
      </w:r>
    </w:p>
    <w:p w:rsidR="00FF4E43" w:rsidRPr="00BE108E" w:rsidRDefault="00FF4E43" w:rsidP="00FF4E43">
      <w:r w:rsidRPr="00BE108E">
        <w:t>С целью подготовки спортивного резерва в учреждениях дополнительного образования спортивной направленности обеспечивались занятия 23 тысяч детей в возрасте от 6 до 15 лет (на 3,5% больше уровня 2013 года).</w:t>
      </w:r>
    </w:p>
    <w:p w:rsidR="00FF4E43" w:rsidRPr="00BE108E" w:rsidRDefault="00FF4E43" w:rsidP="00FF4E43">
      <w:r w:rsidRPr="00BE108E">
        <w:t xml:space="preserve">С целью </w:t>
      </w:r>
      <w:r w:rsidRPr="00BE108E">
        <w:rPr>
          <w:b/>
        </w:rPr>
        <w:t>обеспечения населения региона качественной, доступной и безопасной спортивной инфраструктурой</w:t>
      </w:r>
      <w:r w:rsidRPr="00BE108E">
        <w:t xml:space="preserve"> продолжалась работа по строительству новых (легкоатлетический манеж в г. Мурманске, плавательный бассейн в г. Кандалакша), реконструкции (спортивный комплекс «Долина Уюта») и ремонту действующих спортивных объектов.</w:t>
      </w:r>
    </w:p>
    <w:p w:rsidR="00FF4E43" w:rsidRPr="00BE108E" w:rsidRDefault="00FF4E43" w:rsidP="00FF4E43">
      <w:r w:rsidRPr="00BE108E">
        <w:t xml:space="preserve">В </w:t>
      </w:r>
      <w:proofErr w:type="gramStart"/>
      <w:r w:rsidRPr="00BE108E">
        <w:t>декабре</w:t>
      </w:r>
      <w:proofErr w:type="gramEnd"/>
      <w:r w:rsidRPr="00BE108E">
        <w:t xml:space="preserve"> 2014 года введен в эксплуатацию крытый каток с искусственным льдом в г. Апатиты. </w:t>
      </w:r>
      <w:proofErr w:type="gramStart"/>
      <w:r w:rsidRPr="00BE108E">
        <w:t>Разработаны ПСД на строительство горнолыжного подъемника и административного комплекса специализированной детско-юношеской спортивной школы олимпийского резерва по горнолыжному спорту в г. Кировске.</w:t>
      </w:r>
      <w:proofErr w:type="gramEnd"/>
    </w:p>
    <w:p w:rsidR="00FF4E43" w:rsidRPr="00BE108E" w:rsidRDefault="00FF4E43" w:rsidP="00FF4E43">
      <w:r w:rsidRPr="00BE108E">
        <w:t xml:space="preserve">В муниципальных </w:t>
      </w:r>
      <w:proofErr w:type="gramStart"/>
      <w:r w:rsidRPr="00BE108E">
        <w:t>образованиях</w:t>
      </w:r>
      <w:proofErr w:type="gramEnd"/>
      <w:r w:rsidRPr="00BE108E">
        <w:t xml:space="preserve"> области установлены 8 спортивных площадок различного типа.</w:t>
      </w:r>
    </w:p>
    <w:p w:rsidR="00FF4E43" w:rsidRPr="00BE108E" w:rsidRDefault="00FF4E43" w:rsidP="00FF4E43">
      <w:r w:rsidRPr="00BE108E">
        <w:lastRenderedPageBreak/>
        <w:t xml:space="preserve">В </w:t>
      </w:r>
      <w:proofErr w:type="gramStart"/>
      <w:r w:rsidRPr="00BE108E">
        <w:t>результате</w:t>
      </w:r>
      <w:proofErr w:type="gramEnd"/>
      <w:r w:rsidRPr="00BE108E">
        <w:t xml:space="preserve"> реализации мероприятий программы доля населения, систематически занимающегося физической культурой и спортом, в 2014 году составила 26,3% (в 2013 году – 18,5%), среди обучающихся и студентов систематически занимаются физкультурой и спортом 56,6% населения в возрасте от 6 до 29 лет.</w:t>
      </w:r>
      <w:r w:rsidR="00BF2C89" w:rsidRPr="00BE108E">
        <w:t xml:space="preserve"> </w:t>
      </w:r>
    </w:p>
    <w:p w:rsidR="00FF4E43" w:rsidRPr="00BE108E" w:rsidRDefault="00FF4E43" w:rsidP="00B93BB7">
      <w:r w:rsidRPr="00BE108E">
        <w:t xml:space="preserve">Всего к выполнению в 2014 году предусмотрен 21 показатель государственной программы, из них по 14 отмечается высокая степень достижения, по 4 – средняя степень достижения, 1 показатель (по количеству завоеванных на всероссийских и международных соревнованиях медалей) значительно перевыполнен. Два из недостигнутых показателей отражают обеспеченность объектами спорта и не выполнены по причине отставания от графика выполнения работ по строительству плавательного бассейна в </w:t>
      </w:r>
      <w:proofErr w:type="gramStart"/>
      <w:r w:rsidRPr="00BE108E">
        <w:t>г</w:t>
      </w:r>
      <w:proofErr w:type="gramEnd"/>
      <w:r w:rsidRPr="00BE108E">
        <w:t>.</w:t>
      </w:r>
      <w:r w:rsidR="00E513B3" w:rsidRPr="00BE108E">
        <w:t> </w:t>
      </w:r>
      <w:r w:rsidRPr="00BE108E">
        <w:t>Кандалакше (планировался ввод в 2014 году). Средняя степень достижения показателей составила 106,7%</w:t>
      </w:r>
      <w:r w:rsidR="0055692C">
        <w:t>.</w:t>
      </w:r>
    </w:p>
    <w:p w:rsidR="00FF4E43" w:rsidRDefault="00FF4E43" w:rsidP="00B93BB7">
      <w:r w:rsidRPr="00BE108E">
        <w:t xml:space="preserve">В </w:t>
      </w:r>
      <w:proofErr w:type="gramStart"/>
      <w:r w:rsidRPr="00BE108E">
        <w:t>соответствии</w:t>
      </w:r>
      <w:proofErr w:type="gramEnd"/>
      <w:r w:rsidRPr="00BE108E">
        <w:t xml:space="preserve"> с утвержденной методикой оценка эффективности реализации государственной программы произведена по трем установленным критериям и позволила оценить реализацию программы в 2014 году как эффективную.</w:t>
      </w:r>
    </w:p>
    <w:p w:rsidR="00D064E3" w:rsidRPr="00BE108E" w:rsidRDefault="00D064E3" w:rsidP="00B93BB7">
      <w:pPr>
        <w:rPr>
          <w:rStyle w:val="FontStyle14"/>
          <w:sz w:val="28"/>
          <w:szCs w:val="28"/>
        </w:rPr>
      </w:pPr>
    </w:p>
    <w:p w:rsidR="00FF4E43" w:rsidRPr="00BE108E" w:rsidRDefault="00FF4E43" w:rsidP="00B93BB7">
      <w:pPr>
        <w:pStyle w:val="1"/>
      </w:pPr>
      <w:r w:rsidRPr="00BE108E">
        <w:t xml:space="preserve">Государственная программа </w:t>
      </w:r>
      <w:r w:rsidR="00B93BB7" w:rsidRPr="00BE108E">
        <w:t xml:space="preserve">5 </w:t>
      </w:r>
      <w:r w:rsidRPr="00BE108E">
        <w:t>«Развитие культуры и сохранени</w:t>
      </w:r>
      <w:r w:rsidR="00167178">
        <w:t>е</w:t>
      </w:r>
      <w:r w:rsidRPr="00BE108E">
        <w:t xml:space="preserve"> культурного наследия региона»</w:t>
      </w:r>
    </w:p>
    <w:p w:rsidR="00D064E3" w:rsidRPr="00BE108E" w:rsidRDefault="00D064E3" w:rsidP="00D064E3">
      <w:pPr>
        <w:pStyle w:val="ConsPlusCell"/>
        <w:ind w:firstLine="709"/>
        <w:jc w:val="both"/>
        <w:rPr>
          <w:rStyle w:val="FontStyle14"/>
          <w:sz w:val="28"/>
          <w:szCs w:val="28"/>
        </w:rPr>
      </w:pPr>
    </w:p>
    <w:p w:rsidR="00D064E3" w:rsidRPr="00BE108E" w:rsidRDefault="00D064E3" w:rsidP="00D064E3">
      <w:pPr>
        <w:pStyle w:val="ConsPlusCell"/>
        <w:jc w:val="both"/>
        <w:rPr>
          <w:rStyle w:val="FontStyle14"/>
          <w:sz w:val="28"/>
          <w:szCs w:val="28"/>
        </w:rPr>
      </w:pPr>
      <w:r w:rsidRPr="00BE108E">
        <w:rPr>
          <w:noProof/>
        </w:rPr>
        <w:drawing>
          <wp:inline distT="0" distB="0" distL="0" distR="0">
            <wp:extent cx="2519917" cy="3136604"/>
            <wp:effectExtent l="0" t="0" r="13970" b="2603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BE108E">
        <w:rPr>
          <w:noProof/>
        </w:rPr>
        <w:t xml:space="preserve"> </w:t>
      </w:r>
      <w:r w:rsidRPr="00BE108E">
        <w:rPr>
          <w:noProof/>
        </w:rPr>
        <w:drawing>
          <wp:inline distT="0" distB="0" distL="0" distR="0">
            <wp:extent cx="3466214" cy="3136604"/>
            <wp:effectExtent l="0" t="0" r="20320" b="2603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9</w:t>
      </w:r>
    </w:p>
    <w:p w:rsidR="00C13F31" w:rsidRPr="00C13F31" w:rsidRDefault="00C13F31" w:rsidP="00C13F31">
      <w:pPr>
        <w:ind w:firstLine="0"/>
        <w:jc w:val="center"/>
        <w:rPr>
          <w:sz w:val="24"/>
        </w:rPr>
      </w:pPr>
    </w:p>
    <w:p w:rsidR="00FF4E43" w:rsidRPr="00BE108E" w:rsidRDefault="00FF4E43" w:rsidP="00FF4E43">
      <w:r w:rsidRPr="00BE108E">
        <w:t xml:space="preserve">По состоянию на конец отчетного периода общий объем финансирования, запланированный на реализацию государственной программы, составил 848,1 млн. рублей. </w:t>
      </w:r>
    </w:p>
    <w:p w:rsidR="00FF4E43" w:rsidRPr="00BE108E" w:rsidRDefault="00FF4E43" w:rsidP="00FF4E43">
      <w:r w:rsidRPr="00BE108E">
        <w:t xml:space="preserve">Общая сумма расходов за 2014 год составила 759,5 млн. рублей (89,5% от предусмотренного объема), в том числе за счет средств областного бюджета – </w:t>
      </w:r>
      <w:r w:rsidRPr="00BE108E">
        <w:lastRenderedPageBreak/>
        <w:t xml:space="preserve">717,6 млн. рублей (89%), федерального бюджета – 40,5 млн. рублей (100%), местных бюджетов – 1,3 млн. рублей (99,9%). </w:t>
      </w:r>
    </w:p>
    <w:p w:rsidR="00FF4E43" w:rsidRPr="00BE108E" w:rsidRDefault="00FF4E43" w:rsidP="00FF4E43">
      <w:pPr>
        <w:rPr>
          <w:bCs/>
          <w:color w:val="000000"/>
        </w:rPr>
      </w:pPr>
      <w:proofErr w:type="gramStart"/>
      <w:r w:rsidRPr="00BE108E">
        <w:rPr>
          <w:bCs/>
        </w:rPr>
        <w:t>В целях</w:t>
      </w:r>
      <w:r w:rsidRPr="00BE108E">
        <w:rPr>
          <w:b/>
          <w:bCs/>
        </w:rPr>
        <w:t xml:space="preserve"> сохранения культурного и исторического наследия, расширени</w:t>
      </w:r>
      <w:r w:rsidR="00167178">
        <w:rPr>
          <w:b/>
          <w:bCs/>
        </w:rPr>
        <w:t>я</w:t>
      </w:r>
      <w:r w:rsidRPr="00BE108E">
        <w:rPr>
          <w:b/>
          <w:bCs/>
        </w:rPr>
        <w:t xml:space="preserve"> доступа населения к культурным ценностям и информации </w:t>
      </w:r>
      <w:r w:rsidRPr="00BE108E">
        <w:t xml:space="preserve">продолжены работы по </w:t>
      </w:r>
      <w:proofErr w:type="spellStart"/>
      <w:r w:rsidRPr="00BE108E">
        <w:t>музеефикации</w:t>
      </w:r>
      <w:proofErr w:type="spellEnd"/>
      <w:r w:rsidRPr="00BE108E">
        <w:t xml:space="preserve"> </w:t>
      </w:r>
      <w:r w:rsidRPr="00BE108E">
        <w:rPr>
          <w:bCs/>
          <w:color w:val="000000"/>
        </w:rPr>
        <w:t>уникального археологического объекта – комплекса петроглифов</w:t>
      </w:r>
      <w:r w:rsidR="00B63F0D" w:rsidRPr="00BE108E">
        <w:rPr>
          <w:bCs/>
          <w:color w:val="000000"/>
        </w:rPr>
        <w:t xml:space="preserve"> – </w:t>
      </w:r>
      <w:r w:rsidRPr="00BE108E">
        <w:rPr>
          <w:bCs/>
          <w:color w:val="000000"/>
        </w:rPr>
        <w:t xml:space="preserve">наскальных рисунков </w:t>
      </w:r>
      <w:r w:rsidRPr="00BE108E">
        <w:rPr>
          <w:bCs/>
          <w:color w:val="000000"/>
          <w:lang w:val="en-US"/>
        </w:rPr>
        <w:t>IV</w:t>
      </w:r>
      <w:r w:rsidRPr="00BE108E">
        <w:rPr>
          <w:bCs/>
          <w:color w:val="000000"/>
        </w:rPr>
        <w:t>-</w:t>
      </w:r>
      <w:r w:rsidRPr="00BE108E">
        <w:rPr>
          <w:bCs/>
          <w:color w:val="000000"/>
          <w:lang w:val="en-US"/>
        </w:rPr>
        <w:t>II</w:t>
      </w:r>
      <w:r w:rsidRPr="00BE108E">
        <w:rPr>
          <w:bCs/>
          <w:color w:val="000000"/>
        </w:rPr>
        <w:t xml:space="preserve"> тыс. до н.э. на островах озера Канозеро в Терском районе.</w:t>
      </w:r>
      <w:proofErr w:type="gramEnd"/>
      <w:r w:rsidRPr="00BE108E">
        <w:rPr>
          <w:bCs/>
          <w:color w:val="000000"/>
        </w:rPr>
        <w:t xml:space="preserve"> В</w:t>
      </w:r>
      <w:r w:rsidRPr="00BE108E">
        <w:t>озведено защитное сооружение над группой петроглифов на острове Каменном</w:t>
      </w:r>
      <w:r w:rsidRPr="00BE108E">
        <w:rPr>
          <w:bCs/>
          <w:color w:val="000000"/>
        </w:rPr>
        <w:t xml:space="preserve">, что позволяет обеспечивать сохранность объекта и условия для его посещения туристами. </w:t>
      </w:r>
    </w:p>
    <w:p w:rsidR="00FF4E43" w:rsidRPr="00BE108E" w:rsidRDefault="00FF4E43" w:rsidP="00FF4E43">
      <w:r w:rsidRPr="00BE108E">
        <w:t xml:space="preserve">Разработаны зоны охраны объектов культурного наследия: Благовещенского собора в Коле, а также объединенной зоны в центре Мурманска, включающей здание областного художественного музея, сквер на улице Ленинградской, памятник жертвам интервенции. </w:t>
      </w:r>
    </w:p>
    <w:p w:rsidR="00FF4E43" w:rsidRPr="00BE108E" w:rsidRDefault="00FF4E43" w:rsidP="00FF4E43">
      <w:r w:rsidRPr="00BE108E">
        <w:t>По результатам проводимой работы отмечается увеличение доли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 (с 49,2% в 2013 году до 50,4% в 2014 году).</w:t>
      </w:r>
    </w:p>
    <w:p w:rsidR="00FF4E43" w:rsidRPr="00BE108E" w:rsidRDefault="00FF4E43" w:rsidP="00FF4E43">
      <w:r w:rsidRPr="00BE108E">
        <w:t>Успешная реализация мероприятий по техническому переоснащению библиотек и активному продвижению и популяризации чтения способствовали увеличению среднего числа книговыдач государственных библиотек (в том числе удаленным пользователям) на 3% в сравнении с 2013 годом.</w:t>
      </w:r>
    </w:p>
    <w:p w:rsidR="00FF4E43" w:rsidRPr="00BE108E" w:rsidRDefault="00FF4E43" w:rsidP="00FF4E43">
      <w:r w:rsidRPr="00BE108E">
        <w:t>Для создания более комфортной среды для пользователей в 2014 году завершен косметический ремонт помещений Мурманской государственной областной специальной библиотеки для слепых и слабовидящих: осуществлена</w:t>
      </w:r>
      <w:r w:rsidR="00BF2C89" w:rsidRPr="00BE108E">
        <w:t xml:space="preserve"> </w:t>
      </w:r>
      <w:r w:rsidRPr="00BE108E">
        <w:t>реконструкция крыльца с устройством пандуса, установлены</w:t>
      </w:r>
      <w:r w:rsidR="00BF2C89" w:rsidRPr="00BE108E">
        <w:t xml:space="preserve"> </w:t>
      </w:r>
      <w:r w:rsidRPr="00BE108E">
        <w:t>различные</w:t>
      </w:r>
      <w:r w:rsidR="00BF2C89" w:rsidRPr="00BE108E">
        <w:t xml:space="preserve"> </w:t>
      </w:r>
      <w:r w:rsidRPr="00BE108E">
        <w:t>элементы</w:t>
      </w:r>
      <w:r w:rsidR="00BF2C89" w:rsidRPr="00BE108E">
        <w:t xml:space="preserve"> </w:t>
      </w:r>
      <w:r w:rsidRPr="00BE108E">
        <w:t>доступности для</w:t>
      </w:r>
      <w:r w:rsidR="00BF2C89" w:rsidRPr="00BE108E">
        <w:t xml:space="preserve"> </w:t>
      </w:r>
      <w:r w:rsidRPr="00BE108E">
        <w:t>инвалидов.</w:t>
      </w:r>
    </w:p>
    <w:p w:rsidR="00FF4E43" w:rsidRPr="00BE108E" w:rsidRDefault="00FF4E43" w:rsidP="00FF4E43">
      <w:r w:rsidRPr="00BE108E">
        <w:t>Разработана проектная документация по объекту «Реконструкция здания Мурманской государственной областной универсальной научной библиотеки», однако</w:t>
      </w:r>
      <w:r w:rsidR="00E513B3" w:rsidRPr="00BE108E">
        <w:t>,</w:t>
      </w:r>
      <w:r w:rsidRPr="00BE108E">
        <w:t xml:space="preserve"> в связи с поздним заключением контракта на проектные работы в 2014 году срок получения экспертного заключения по проекту перенесен на 2015 год.</w:t>
      </w:r>
    </w:p>
    <w:p w:rsidR="00FF4E43" w:rsidRPr="00BE108E" w:rsidRDefault="00FF4E43" w:rsidP="00FF4E43">
      <w:proofErr w:type="gramStart"/>
      <w:r w:rsidRPr="00BE108E">
        <w:t xml:space="preserve">В рамках обеспечения сохранности музейных фондов и повышения доступности, качества услуг музеев для населения наряду с традиционными формами экспозиционно-выставочной и </w:t>
      </w:r>
      <w:proofErr w:type="spellStart"/>
      <w:r w:rsidRPr="00BE108E">
        <w:t>хранительской</w:t>
      </w:r>
      <w:proofErr w:type="spellEnd"/>
      <w:r w:rsidRPr="00BE108E">
        <w:t xml:space="preserve"> деятельности продолжено внедрение новых информационных технологий: организуются виртуальные выставки, создаются электронные базы данных.</w:t>
      </w:r>
      <w:proofErr w:type="gramEnd"/>
    </w:p>
    <w:p w:rsidR="00FF4E43" w:rsidRPr="00BE108E" w:rsidRDefault="00FF4E43" w:rsidP="00FF4E43">
      <w:pPr>
        <w:rPr>
          <w:bCs/>
          <w:color w:val="000000"/>
        </w:rPr>
      </w:pPr>
      <w:proofErr w:type="gramStart"/>
      <w:r w:rsidRPr="00BE108E">
        <w:rPr>
          <w:bCs/>
          <w:color w:val="000000"/>
        </w:rPr>
        <w:t>В целях реализации Указа Президента Российской Федерации от 07.05.2012 № 597 «О мероприятиях по реализации государственной социальной политики» в 2014 году государственными областными музеями был обеспечен существенный прирост количества выставочных проектов, осуществляемых в субъектах Российской Федерации, по отношению к 2012 году (</w:t>
      </w:r>
      <w:r w:rsidR="00167178">
        <w:rPr>
          <w:bCs/>
          <w:color w:val="000000"/>
        </w:rPr>
        <w:t xml:space="preserve">на </w:t>
      </w:r>
      <w:r w:rsidRPr="00BE108E">
        <w:rPr>
          <w:bCs/>
          <w:color w:val="000000"/>
        </w:rPr>
        <w:t>58%), что существенно превышает фактическое значение 2013 года (26,2%).</w:t>
      </w:r>
      <w:proofErr w:type="gramEnd"/>
    </w:p>
    <w:p w:rsidR="00FF4E43" w:rsidRPr="00BE108E" w:rsidRDefault="00FF4E43" w:rsidP="00FF4E43">
      <w:pPr>
        <w:rPr>
          <w:bCs/>
          <w:color w:val="000000"/>
        </w:rPr>
      </w:pPr>
      <w:r w:rsidRPr="00BE108E">
        <w:rPr>
          <w:bCs/>
          <w:color w:val="000000"/>
        </w:rPr>
        <w:lastRenderedPageBreak/>
        <w:t>Доля представленных (во всех формах) зрителю музейных предметов</w:t>
      </w:r>
      <w:r w:rsidR="00BF2C89" w:rsidRPr="00BE108E">
        <w:rPr>
          <w:bCs/>
          <w:color w:val="000000"/>
        </w:rPr>
        <w:t xml:space="preserve"> </w:t>
      </w:r>
      <w:r w:rsidRPr="00BE108E">
        <w:rPr>
          <w:bCs/>
          <w:color w:val="000000"/>
        </w:rPr>
        <w:t>в общем количестве музейных предметов основного фонда государственных музеев составила 10% против 9,7% в 2013 году.</w:t>
      </w:r>
    </w:p>
    <w:p w:rsidR="00FF4E43" w:rsidRPr="00BE108E" w:rsidRDefault="00FF4E43" w:rsidP="00FF4E43">
      <w:r w:rsidRPr="00BE108E">
        <w:t xml:space="preserve">По объекту «Реконструкция здания Мурманского областного краеведческого музея» проектная документация разработана, получены отрицательные экспертные заключения ФАУ «Главгосэкспертиза». Срок передачи проекта на повторную государственную экспертизу и проверку достоверности определения сметной стоимости перенесен на 2015 год. </w:t>
      </w:r>
    </w:p>
    <w:p w:rsidR="00FF4E43" w:rsidRPr="00BE108E" w:rsidRDefault="00FF4E43" w:rsidP="00FF4E43">
      <w:proofErr w:type="gramStart"/>
      <w:r w:rsidRPr="00BE108E">
        <w:t>В целях</w:t>
      </w:r>
      <w:r w:rsidRPr="00BE108E">
        <w:rPr>
          <w:b/>
        </w:rPr>
        <w:t xml:space="preserve"> обеспечения прав граждан на участие в культурной жизни, реализации творческого потенциала населения</w:t>
      </w:r>
      <w:r w:rsidRPr="00BE108E">
        <w:t xml:space="preserve"> в течение года реализовывались мероприятия, направленные на поддержку, развитие и сохранение традиций российского профессионального искусства, сохранение культурного потенциала региона, расширение гастрольной деятельности театрально-зрелищных организаций, в том числе в отдаленных от центра городах и населенных пунктах Мурманской области.</w:t>
      </w:r>
      <w:proofErr w:type="gramEnd"/>
    </w:p>
    <w:p w:rsidR="00FF4E43" w:rsidRPr="00BE108E" w:rsidRDefault="00FF4E43" w:rsidP="00FF4E43">
      <w:r w:rsidRPr="00BE108E">
        <w:rPr>
          <w:color w:val="000000"/>
        </w:rPr>
        <w:t>В 2014 году на сцене государственных театров региона показано 9 премьер,</w:t>
      </w:r>
      <w:r w:rsidR="00BF2C89" w:rsidRPr="00BE108E">
        <w:rPr>
          <w:color w:val="000000"/>
        </w:rPr>
        <w:t xml:space="preserve"> </w:t>
      </w:r>
      <w:r w:rsidRPr="00BE108E">
        <w:rPr>
          <w:color w:val="000000"/>
        </w:rPr>
        <w:t xml:space="preserve">более </w:t>
      </w:r>
      <w:r w:rsidRPr="00BE108E">
        <w:t>700 спектаклей</w:t>
      </w:r>
      <w:r w:rsidRPr="00BE108E">
        <w:rPr>
          <w:color w:val="000000"/>
        </w:rPr>
        <w:t xml:space="preserve"> на своих стационарных площадках и более </w:t>
      </w:r>
      <w:r w:rsidRPr="00BE108E">
        <w:t xml:space="preserve">100 </w:t>
      </w:r>
      <w:r w:rsidRPr="00BE108E">
        <w:rPr>
          <w:color w:val="000000"/>
        </w:rPr>
        <w:t xml:space="preserve">спектаклей на выездах и гастролях по </w:t>
      </w:r>
      <w:r w:rsidRPr="00BE108E">
        <w:t>области и России.</w:t>
      </w:r>
    </w:p>
    <w:p w:rsidR="00FF4E43" w:rsidRPr="00BE108E" w:rsidRDefault="00FF4E43" w:rsidP="00FF4E43">
      <w:r w:rsidRPr="00BE108E">
        <w:t>Филармонией проведено более 380 концертов на стационаре, гастролях и на выездах в пределах области и России, которые посетило более 34 тыс. слушателей.</w:t>
      </w:r>
    </w:p>
    <w:p w:rsidR="00FF4E43" w:rsidRPr="00BE108E" w:rsidRDefault="00FF4E43" w:rsidP="00FF4E43">
      <w:r w:rsidRPr="00BE108E">
        <w:t xml:space="preserve">Артисты областной филармонии, известные российские музыканты приняли участие в благотворительной акции «Деятели культуры – защитникам Заполярья», в рамках которой проведено более 30 концертов в отдаленных районах области, где дислоцируются воинские части, на военных кораблях, закрытых территориях. </w:t>
      </w:r>
    </w:p>
    <w:p w:rsidR="00FF4E43" w:rsidRPr="00BE108E" w:rsidRDefault="00FF4E43" w:rsidP="00FF4E43">
      <w:proofErr w:type="gramStart"/>
      <w:r w:rsidRPr="00BE108E">
        <w:t>Увеличение в 2014 году количества выездов и гастролей (мероприятий в рамках Года культуры и 70-летия разгрома немецко-фашистских войск в Заполярье, а также мероприятий, осуществляемых силами учреждений за счет приносящей доход деятельности) повлияло на существенное перевыполнение плановых значений показателей «</w:t>
      </w:r>
      <w:r w:rsidR="0055692C">
        <w:t>д</w:t>
      </w:r>
      <w:r w:rsidRPr="00BE108E">
        <w:t>оля мероприятий, проведенных силами театров на выездах и гастролях, от общего количества мероприятий театров» (191% к плану) и «</w:t>
      </w:r>
      <w:r w:rsidR="0055692C">
        <w:t>д</w:t>
      </w:r>
      <w:r w:rsidRPr="00BE108E">
        <w:t>оля концертов, проведенных силами</w:t>
      </w:r>
      <w:proofErr w:type="gramEnd"/>
      <w:r w:rsidRPr="00BE108E">
        <w:t xml:space="preserve"> концертной организации на выездах и гастролях, от общего числа концертов» (179% к плану).</w:t>
      </w:r>
    </w:p>
    <w:p w:rsidR="00FF4E43" w:rsidRPr="00BE108E" w:rsidRDefault="00FF4E43" w:rsidP="00FF4E43">
      <w:pPr>
        <w:rPr>
          <w:kern w:val="3"/>
          <w:lang w:eastAsia="zh-CN"/>
        </w:rPr>
      </w:pPr>
      <w:proofErr w:type="gramStart"/>
      <w:r w:rsidRPr="00BE108E">
        <w:t>В рамках повышения доступности и качества услуг в культурно-досуговой сфере и поддержки традиционной народной культуры</w:t>
      </w:r>
      <w:r w:rsidRPr="00BE108E">
        <w:rPr>
          <w:b/>
          <w:i/>
        </w:rPr>
        <w:t xml:space="preserve"> </w:t>
      </w:r>
      <w:r w:rsidRPr="00BE108E">
        <w:t>на базе</w:t>
      </w:r>
      <w:r w:rsidRPr="00BE108E">
        <w:rPr>
          <w:b/>
          <w:i/>
        </w:rPr>
        <w:t xml:space="preserve"> </w:t>
      </w:r>
      <w:r w:rsidRPr="00BE108E">
        <w:rPr>
          <w:color w:val="000000"/>
        </w:rPr>
        <w:t>Мурманского областного Дворца культуры и народного творчества</w:t>
      </w:r>
      <w:r w:rsidR="00BF2C89" w:rsidRPr="00BE108E">
        <w:rPr>
          <w:color w:val="000000"/>
        </w:rPr>
        <w:t xml:space="preserve"> </w:t>
      </w:r>
      <w:r w:rsidRPr="00BE108E">
        <w:rPr>
          <w:color w:val="000000"/>
        </w:rPr>
        <w:t xml:space="preserve">им. С.М. Кирова проведено более 190 мероприятий (в том числе международных, областных фестивалей и конкурсов, государственных и региональных праздников). </w:t>
      </w:r>
      <w:proofErr w:type="gramEnd"/>
    </w:p>
    <w:p w:rsidR="00FF4E43" w:rsidRPr="00BE108E" w:rsidRDefault="00FF4E43" w:rsidP="00FF4E43">
      <w:r w:rsidRPr="00BE108E">
        <w:t>Организовано и проведено 40 фестивалей, смотров, конкурсов, выставок, семинаров, направленных на сохранение, поддержку и популяризацию нематериального культурного наследия и традиционной народной культуры. Значимыми из них стали: М</w:t>
      </w:r>
      <w:r w:rsidRPr="00BE108E">
        <w:rPr>
          <w:bCs/>
          <w:color w:val="000000"/>
        </w:rPr>
        <w:t xml:space="preserve">ежрегиональный фестиваль народной игрушки </w:t>
      </w:r>
      <w:r w:rsidRPr="00BE108E">
        <w:rPr>
          <w:bCs/>
          <w:color w:val="000000"/>
        </w:rPr>
        <w:lastRenderedPageBreak/>
        <w:t xml:space="preserve">России, областной смотр-конкурс по развитию и популяризации традиционной народной культуры, </w:t>
      </w:r>
      <w:r w:rsidRPr="00BE108E">
        <w:t xml:space="preserve">совместные гастроли поморских хоров из Варзуги и Териберки по населенным пунктам региона, </w:t>
      </w:r>
      <w:r w:rsidRPr="00BE108E">
        <w:rPr>
          <w:lang w:val="en-US"/>
        </w:rPr>
        <w:t>VII</w:t>
      </w:r>
      <w:r w:rsidRPr="00BE108E">
        <w:t xml:space="preserve"> Международный фестиваль фольклора Баренцева </w:t>
      </w:r>
      <w:proofErr w:type="gramStart"/>
      <w:r w:rsidRPr="00BE108E">
        <w:t>Евро-Арктического</w:t>
      </w:r>
      <w:proofErr w:type="gramEnd"/>
      <w:r w:rsidRPr="00BE108E">
        <w:t xml:space="preserve"> региона и регионов Северо-Западного федерального округа. </w:t>
      </w:r>
    </w:p>
    <w:p w:rsidR="00FF4E43" w:rsidRPr="00BE108E" w:rsidRDefault="00FF4E43" w:rsidP="00FF4E43">
      <w:r w:rsidRPr="00BE108E">
        <w:t xml:space="preserve">В </w:t>
      </w:r>
      <w:proofErr w:type="gramStart"/>
      <w:r w:rsidRPr="00BE108E">
        <w:t>рамках</w:t>
      </w:r>
      <w:proofErr w:type="gramEnd"/>
      <w:r w:rsidRPr="00BE108E">
        <w:t xml:space="preserve"> реализации Плана основных мероприятий по подготовке и проведению празднования 100-летия г. Мурманска разработана проектно-сметная документация по реконструкции Мурманской областной филармонии, получено положительное заключение государственной экспертизы, работы по реконструкции здания ведутся согласно график</w:t>
      </w:r>
      <w:r w:rsidR="00B63F0D" w:rsidRPr="00BE108E">
        <w:t>у</w:t>
      </w:r>
      <w:r w:rsidRPr="00BE108E">
        <w:t xml:space="preserve">. </w:t>
      </w:r>
    </w:p>
    <w:p w:rsidR="00FF4E43" w:rsidRPr="00BE108E" w:rsidRDefault="00FF4E43" w:rsidP="00FF4E43">
      <w:r w:rsidRPr="00BE108E">
        <w:t xml:space="preserve">Разработана проектно-сметная документация по реконструкции Мурманского областного драматического театра, получено положительное заключение региональной государственной экспертизы. Выполнены работы по демонтажу мастерских, складов, гаража (подготовка территории для выполнения электроснабжающей организацией работ по техприсоединению). </w:t>
      </w:r>
    </w:p>
    <w:p w:rsidR="00FF4E43" w:rsidRPr="00BE108E" w:rsidRDefault="00FF4E43" w:rsidP="00FF4E43">
      <w:r w:rsidRPr="00BE108E">
        <w:t>Завершена разработка проектной документации на капитальный ремонт большого зрительного зала Дворца культуры им. С.М. Кирова.</w:t>
      </w:r>
    </w:p>
    <w:p w:rsidR="00FF4E43" w:rsidRPr="00BE108E" w:rsidRDefault="00FF4E43" w:rsidP="00FF4E43">
      <w:proofErr w:type="gramStart"/>
      <w:r w:rsidRPr="00BE108E">
        <w:rPr>
          <w:lang w:eastAsia="ar-SA"/>
        </w:rPr>
        <w:t xml:space="preserve">Проведены </w:t>
      </w:r>
      <w:r w:rsidRPr="00BE108E">
        <w:t xml:space="preserve">ремонтно-восстановительные работы в зданиях </w:t>
      </w:r>
      <w:r w:rsidRPr="00BE108E">
        <w:rPr>
          <w:lang w:eastAsia="ar-SA"/>
        </w:rPr>
        <w:t xml:space="preserve">Мурманского </w:t>
      </w:r>
      <w:r w:rsidRPr="00BE108E">
        <w:t xml:space="preserve">Дворца культуры им. С.М. Кирова, работы по капитальному ремонту здания МАУК «Кольский районный Центр культуры», а также по ремонту </w:t>
      </w:r>
      <w:r w:rsidRPr="00BE108E">
        <w:rPr>
          <w:bCs/>
          <w:color w:val="000000"/>
        </w:rPr>
        <w:t>в 5 муниципальных учреждениях культуры городов Кола и Полярные Зори, поселков Африканда и Умба, приобретены сценические костюмы и музыкальные инструменты для 2-х учреждений культуры пос</w:t>
      </w:r>
      <w:r w:rsidR="00265124" w:rsidRPr="00BE108E">
        <w:rPr>
          <w:bCs/>
          <w:color w:val="000000"/>
        </w:rPr>
        <w:t>е</w:t>
      </w:r>
      <w:r w:rsidRPr="00BE108E">
        <w:rPr>
          <w:bCs/>
          <w:color w:val="000000"/>
        </w:rPr>
        <w:t>лков Мурмаши и</w:t>
      </w:r>
      <w:r w:rsidR="00BF2C89" w:rsidRPr="00BE108E">
        <w:rPr>
          <w:bCs/>
          <w:color w:val="000000"/>
        </w:rPr>
        <w:t xml:space="preserve"> </w:t>
      </w:r>
      <w:r w:rsidRPr="00BE108E">
        <w:rPr>
          <w:bCs/>
          <w:color w:val="000000"/>
        </w:rPr>
        <w:t>Ревда</w:t>
      </w:r>
      <w:r w:rsidRPr="00BE108E">
        <w:rPr>
          <w:bCs/>
          <w:i/>
          <w:color w:val="000000"/>
        </w:rPr>
        <w:t>.</w:t>
      </w:r>
      <w:proofErr w:type="gramEnd"/>
    </w:p>
    <w:p w:rsidR="00FF4E43" w:rsidRPr="00BE108E" w:rsidRDefault="00FF4E43" w:rsidP="00FF4E43">
      <w:r w:rsidRPr="00BE108E">
        <w:rPr>
          <w:bCs/>
          <w:color w:val="000000"/>
        </w:rPr>
        <w:t xml:space="preserve">В </w:t>
      </w:r>
      <w:proofErr w:type="gramStart"/>
      <w:r w:rsidRPr="00BE108E">
        <w:rPr>
          <w:bCs/>
          <w:color w:val="000000"/>
        </w:rPr>
        <w:t>рамках</w:t>
      </w:r>
      <w:proofErr w:type="gramEnd"/>
      <w:r w:rsidRPr="00BE108E">
        <w:rPr>
          <w:bCs/>
          <w:color w:val="000000"/>
        </w:rPr>
        <w:t xml:space="preserve"> программы р</w:t>
      </w:r>
      <w:r w:rsidRPr="00BE108E">
        <w:t>еализован</w:t>
      </w:r>
      <w:r w:rsidR="00BF2C89" w:rsidRPr="00BE108E">
        <w:t xml:space="preserve"> </w:t>
      </w:r>
      <w:r w:rsidRPr="00BE108E">
        <w:t>комплекс мер по совершенствованию</w:t>
      </w:r>
      <w:r w:rsidR="00BF2C89" w:rsidRPr="00BE108E">
        <w:t xml:space="preserve"> </w:t>
      </w:r>
      <w:r w:rsidRPr="00BE108E">
        <w:t>системы</w:t>
      </w:r>
      <w:r w:rsidR="00BF2C89" w:rsidRPr="00BE108E">
        <w:t xml:space="preserve"> </w:t>
      </w:r>
      <w:r w:rsidRPr="00BE108E">
        <w:t>оплаты</w:t>
      </w:r>
      <w:r w:rsidR="00BF2C89" w:rsidRPr="00BE108E">
        <w:t xml:space="preserve"> </w:t>
      </w:r>
      <w:r w:rsidRPr="00BE108E">
        <w:t>труда</w:t>
      </w:r>
      <w:r w:rsidR="00BF2C89" w:rsidRPr="00BE108E">
        <w:t xml:space="preserve"> </w:t>
      </w:r>
      <w:r w:rsidRPr="00BE108E">
        <w:t>и</w:t>
      </w:r>
      <w:r w:rsidR="00BF2C89" w:rsidRPr="00BE108E">
        <w:t xml:space="preserve"> </w:t>
      </w:r>
      <w:r w:rsidRPr="00BE108E">
        <w:t>поощрения</w:t>
      </w:r>
      <w:r w:rsidR="00BF2C89" w:rsidRPr="00BE108E">
        <w:t xml:space="preserve"> </w:t>
      </w:r>
      <w:r w:rsidRPr="00BE108E">
        <w:t xml:space="preserve">работников культуры. </w:t>
      </w:r>
    </w:p>
    <w:p w:rsidR="00FF4E43" w:rsidRPr="00BE108E" w:rsidRDefault="00FF4E43" w:rsidP="00FF4E43">
      <w:pPr>
        <w:rPr>
          <w:bCs/>
        </w:rPr>
      </w:pPr>
      <w:r w:rsidRPr="00BE108E">
        <w:rPr>
          <w:bCs/>
        </w:rPr>
        <w:t xml:space="preserve">Денежными поощрениями Министерства культуры Российской Федерации отмечены муниципальное бюджетное учреждение культуры «Ловозерский районный национальный культурный центр», а также </w:t>
      </w:r>
      <w:proofErr w:type="gramStart"/>
      <w:r w:rsidRPr="00BE108E">
        <w:rPr>
          <w:bCs/>
        </w:rPr>
        <w:t>заведующие</w:t>
      </w:r>
      <w:proofErr w:type="gramEnd"/>
      <w:r w:rsidRPr="00BE108E">
        <w:rPr>
          <w:bCs/>
        </w:rPr>
        <w:t xml:space="preserve"> сельских библиотек населенных пунктов Коашва (г. Кировск</w:t>
      </w:r>
      <w:r w:rsidR="00BF2C89" w:rsidRPr="00BE108E">
        <w:rPr>
          <w:bCs/>
        </w:rPr>
        <w:t xml:space="preserve"> </w:t>
      </w:r>
      <w:r w:rsidRPr="00BE108E">
        <w:rPr>
          <w:bCs/>
        </w:rPr>
        <w:t>с подведомственной территорией) и Лиинахамари (Печенгский район)</w:t>
      </w:r>
      <w:r w:rsidR="00457D20" w:rsidRPr="00BE108E">
        <w:rPr>
          <w:bCs/>
        </w:rPr>
        <w:t>,</w:t>
      </w:r>
      <w:r w:rsidRPr="00BE108E">
        <w:rPr>
          <w:rFonts w:ascii="Arial" w:hAnsi="Arial" w:cs="Arial"/>
          <w:bCs/>
        </w:rPr>
        <w:t xml:space="preserve"> </w:t>
      </w:r>
      <w:r w:rsidR="00457D20" w:rsidRPr="00BE108E">
        <w:rPr>
          <w:bCs/>
        </w:rPr>
        <w:t>как лучшие муниципальные учреждения культуры, находящиеся на территории сельских поселений, и их работники.</w:t>
      </w:r>
    </w:p>
    <w:p w:rsidR="00FF4E43" w:rsidRPr="00BE108E" w:rsidRDefault="00FF4E43" w:rsidP="00FF4E43">
      <w:r w:rsidRPr="00BE108E">
        <w:t>Для расширения культурного обслуживания жителей региона, прежде всего</w:t>
      </w:r>
      <w:r w:rsidR="00E513B3" w:rsidRPr="00BE108E">
        <w:t>,</w:t>
      </w:r>
      <w:r w:rsidRPr="00BE108E">
        <w:t xml:space="preserve"> из отдаленных населенных пунктов областными учреждениями культуры и искусства была оказана методическая помощь и помощь в проведении в муниципальных образованиях </w:t>
      </w:r>
      <w:proofErr w:type="spellStart"/>
      <w:r w:rsidRPr="00BE108E">
        <w:t>разножанровых</w:t>
      </w:r>
      <w:proofErr w:type="spellEnd"/>
      <w:r w:rsidRPr="00BE108E">
        <w:t xml:space="preserve"> культурных событий. </w:t>
      </w:r>
    </w:p>
    <w:p w:rsidR="00FF4E43" w:rsidRPr="00BE108E" w:rsidRDefault="00FF4E43" w:rsidP="00FF4E43">
      <w:r w:rsidRPr="00BE108E">
        <w:t>Всего к выполнению в 2014 году предусмотрены 18 показателей государственной программы, из них по 16 отмечается высокая степень достижения, 2 показателя значительно перевыполнены. Средняя степень достижения показателей составила 111,8%.</w:t>
      </w:r>
    </w:p>
    <w:p w:rsidR="00FF4E43" w:rsidRPr="00BE108E" w:rsidRDefault="00FF4E43" w:rsidP="00FF4E43">
      <w:proofErr w:type="gramStart"/>
      <w:r w:rsidRPr="00BE108E">
        <w:t xml:space="preserve">В результате реализации мероприятий программы отмечается повышение уровня удовлетворенности населения качеством предоставления государственных (муниципальных) услуг в сфере культуры до 80% (2013 год – 77,5%), отношение средней заработной платы работников государственных </w:t>
      </w:r>
      <w:r w:rsidRPr="00BE108E">
        <w:lastRenderedPageBreak/>
        <w:t>(муниципальных) учреждений культуры и средней заработной платы в регионе составило 68,5</w:t>
      </w:r>
      <w:r w:rsidR="00BF2C89" w:rsidRPr="00BE108E">
        <w:t>%</w:t>
      </w:r>
      <w:r w:rsidRPr="00BE108E">
        <w:t xml:space="preserve"> против 59,4</w:t>
      </w:r>
      <w:r w:rsidR="00BF2C89" w:rsidRPr="00BE108E">
        <w:t>%</w:t>
      </w:r>
      <w:r w:rsidRPr="00BE108E">
        <w:t xml:space="preserve"> в 2013 году, посещаемость учреждений культуры по отношению к 2012 году увеличилась на 10%.</w:t>
      </w:r>
      <w:proofErr w:type="gramEnd"/>
    </w:p>
    <w:p w:rsidR="00FF4E43" w:rsidRDefault="00FF4E43" w:rsidP="00FF4E43">
      <w:r w:rsidRPr="00BE108E">
        <w:t>Интегральный показатель эффективности реализации государственной программы, рассчитанный на основании пяти установленных критериев, составил 97</w:t>
      </w:r>
      <w:r w:rsidR="00BF2C89" w:rsidRPr="00BE108E">
        <w:t>%</w:t>
      </w:r>
      <w:r w:rsidRPr="00BE108E">
        <w:t xml:space="preserve">, что в соответствии с утвержденной методикой оценки эффективности свидетельствует о высоком уровне эффективности реализации государственной программы. </w:t>
      </w:r>
    </w:p>
    <w:p w:rsidR="00D064E3" w:rsidRPr="00BE108E" w:rsidRDefault="00D064E3" w:rsidP="00FF4E43"/>
    <w:p w:rsidR="00B93BB7" w:rsidRPr="00BE108E" w:rsidRDefault="00B93BB7" w:rsidP="00B93BB7">
      <w:pPr>
        <w:pStyle w:val="1"/>
      </w:pPr>
      <w:r w:rsidRPr="00BE108E">
        <w:t>Государственная программа 6 «Управление развитием регионального рынка труда»</w:t>
      </w:r>
    </w:p>
    <w:p w:rsidR="00D064E3" w:rsidRPr="00BE108E" w:rsidRDefault="00D064E3" w:rsidP="00D064E3">
      <w:pPr>
        <w:pStyle w:val="Default"/>
        <w:ind w:firstLine="851"/>
        <w:jc w:val="both"/>
        <w:rPr>
          <w:color w:val="auto"/>
          <w:sz w:val="28"/>
          <w:szCs w:val="28"/>
        </w:rPr>
      </w:pPr>
    </w:p>
    <w:p w:rsidR="00B93BB7" w:rsidRDefault="00D064E3" w:rsidP="00D064E3">
      <w:pPr>
        <w:pStyle w:val="Default"/>
        <w:jc w:val="both"/>
        <w:rPr>
          <w:color w:val="auto"/>
          <w:sz w:val="28"/>
          <w:szCs w:val="28"/>
        </w:rPr>
      </w:pPr>
      <w:r w:rsidRPr="00BE108E">
        <w:rPr>
          <w:noProof/>
        </w:rPr>
        <w:drawing>
          <wp:inline distT="0" distB="0" distL="0" distR="0">
            <wp:extent cx="2445489" cy="3030279"/>
            <wp:effectExtent l="0" t="0" r="12065" b="1778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color w:val="auto"/>
          <w:sz w:val="28"/>
          <w:szCs w:val="28"/>
        </w:rPr>
        <w:t xml:space="preserve"> </w:t>
      </w:r>
      <w:r w:rsidRPr="00BE108E">
        <w:rPr>
          <w:noProof/>
        </w:rPr>
        <w:drawing>
          <wp:inline distT="0" distB="0" distL="0" distR="0">
            <wp:extent cx="3582670" cy="3030220"/>
            <wp:effectExtent l="0" t="0" r="17780" b="1778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10</w:t>
      </w:r>
    </w:p>
    <w:p w:rsidR="00AE272B" w:rsidRPr="00BE108E" w:rsidRDefault="00AE272B" w:rsidP="00D064E3">
      <w:pPr>
        <w:pStyle w:val="Default"/>
        <w:jc w:val="both"/>
        <w:rPr>
          <w:color w:val="auto"/>
          <w:sz w:val="28"/>
          <w:szCs w:val="28"/>
        </w:rPr>
      </w:pPr>
    </w:p>
    <w:p w:rsidR="00B93BB7" w:rsidRPr="00BE108E" w:rsidRDefault="00B93BB7" w:rsidP="00B93BB7">
      <w:pPr>
        <w:pStyle w:val="Default"/>
        <w:ind w:firstLine="851"/>
        <w:jc w:val="both"/>
        <w:rPr>
          <w:color w:val="auto"/>
          <w:sz w:val="28"/>
          <w:szCs w:val="28"/>
        </w:rPr>
      </w:pPr>
      <w:r w:rsidRPr="00BE108E">
        <w:rPr>
          <w:color w:val="auto"/>
          <w:sz w:val="28"/>
          <w:szCs w:val="28"/>
        </w:rPr>
        <w:t xml:space="preserve">По состоянию на конец отчетного периода общий объем финансирования, запланированный на реализацию государственной программы, составил 745,4 млн. рублей. </w:t>
      </w:r>
      <w:r w:rsidRPr="00BE108E">
        <w:rPr>
          <w:sz w:val="28"/>
          <w:szCs w:val="28"/>
        </w:rPr>
        <w:t>Общая сумма расходов за 2014 год составила 636,4 млн. рублей</w:t>
      </w:r>
      <w:r w:rsidRPr="00BE108E">
        <w:rPr>
          <w:color w:val="auto"/>
          <w:sz w:val="28"/>
          <w:szCs w:val="28"/>
        </w:rPr>
        <w:t xml:space="preserve"> (85,4% от предусмотренного объема), в том числе за счет средств областного бюджета – 350,7 млн. рублей (99,8%), федерального бюджета – 285,7 млн. рублей (72,5%). </w:t>
      </w:r>
    </w:p>
    <w:p w:rsidR="00B93BB7" w:rsidRPr="00BE108E" w:rsidRDefault="00B93BB7" w:rsidP="00B93BB7">
      <w:pPr>
        <w:pStyle w:val="Default"/>
        <w:ind w:firstLine="851"/>
        <w:jc w:val="both"/>
        <w:rPr>
          <w:sz w:val="28"/>
          <w:szCs w:val="28"/>
        </w:rPr>
      </w:pPr>
      <w:r w:rsidRPr="00BE108E">
        <w:rPr>
          <w:sz w:val="28"/>
          <w:szCs w:val="28"/>
        </w:rPr>
        <w:t xml:space="preserve">В 2014 году в рамках программы реализованы мероприятия </w:t>
      </w:r>
      <w:r w:rsidRPr="00BE108E">
        <w:rPr>
          <w:b/>
          <w:sz w:val="28"/>
          <w:szCs w:val="28"/>
        </w:rPr>
        <w:t>по содействию трудоустройству граждан и повышению их конкурентоспособности на рынке труда</w:t>
      </w:r>
      <w:r w:rsidR="00A85FBF">
        <w:rPr>
          <w:sz w:val="28"/>
          <w:szCs w:val="28"/>
        </w:rPr>
        <w:t>.</w:t>
      </w:r>
      <w:r w:rsidRPr="00BE108E">
        <w:rPr>
          <w:sz w:val="28"/>
          <w:szCs w:val="28"/>
        </w:rPr>
        <w:t xml:space="preserve"> </w:t>
      </w:r>
      <w:r w:rsidR="00A85FBF">
        <w:rPr>
          <w:sz w:val="28"/>
          <w:szCs w:val="28"/>
        </w:rPr>
        <w:t>П</w:t>
      </w:r>
      <w:r w:rsidRPr="00BE108E">
        <w:rPr>
          <w:sz w:val="28"/>
          <w:szCs w:val="28"/>
        </w:rPr>
        <w:t>рофессиональное обучение и дополнительное профессиональное образование по направлению службы занятости прошли 1614 безработных граждан, в общественных работах приняли участие 2099 человек, на условиях временной занятости трудоустроено 5502 человека, по программе «Молодежная практика» трудоустроено 89 выпускников учреждений среднего профессионального образования</w:t>
      </w:r>
      <w:r w:rsidR="00A85FBF">
        <w:rPr>
          <w:sz w:val="28"/>
          <w:szCs w:val="28"/>
        </w:rPr>
        <w:t>.</w:t>
      </w:r>
      <w:r w:rsidRPr="00BE108E">
        <w:rPr>
          <w:sz w:val="28"/>
          <w:szCs w:val="28"/>
        </w:rPr>
        <w:t xml:space="preserve"> </w:t>
      </w:r>
      <w:r w:rsidR="00A85FBF">
        <w:rPr>
          <w:sz w:val="28"/>
          <w:szCs w:val="28"/>
        </w:rPr>
        <w:t>У</w:t>
      </w:r>
      <w:r w:rsidRPr="00BE108E">
        <w:rPr>
          <w:sz w:val="28"/>
          <w:szCs w:val="28"/>
        </w:rPr>
        <w:t xml:space="preserve">слуга по содействию самозанятости населения (включая единовременную финансовую помощь) оказана 2456 гражданам (в 2013 году – </w:t>
      </w:r>
      <w:r w:rsidRPr="00BE108E">
        <w:rPr>
          <w:sz w:val="28"/>
          <w:szCs w:val="28"/>
        </w:rPr>
        <w:lastRenderedPageBreak/>
        <w:t>2419 гражданам), услуга по содействию безработным гражданам в переезде и членам их семей в переселении в другую местность для трудоустройства оказана 16 гражданам. Услуги по профессиональной ориентации, психологической поддержке и социальной адаптации на рынке труда получили 22 049 граждан.</w:t>
      </w:r>
    </w:p>
    <w:p w:rsidR="00B93BB7" w:rsidRPr="00BE108E" w:rsidRDefault="00B93BB7" w:rsidP="00B93BB7">
      <w:pPr>
        <w:pStyle w:val="Default"/>
        <w:ind w:firstLine="851"/>
        <w:jc w:val="both"/>
        <w:rPr>
          <w:sz w:val="28"/>
          <w:szCs w:val="28"/>
        </w:rPr>
      </w:pPr>
      <w:r w:rsidRPr="00BE108E">
        <w:rPr>
          <w:sz w:val="28"/>
          <w:szCs w:val="28"/>
        </w:rPr>
        <w:t xml:space="preserve">В </w:t>
      </w:r>
      <w:proofErr w:type="gramStart"/>
      <w:r w:rsidRPr="00BE108E">
        <w:rPr>
          <w:sz w:val="28"/>
          <w:szCs w:val="28"/>
        </w:rPr>
        <w:t>целях</w:t>
      </w:r>
      <w:proofErr w:type="gramEnd"/>
      <w:r w:rsidRPr="00BE108E">
        <w:rPr>
          <w:sz w:val="28"/>
          <w:szCs w:val="28"/>
        </w:rPr>
        <w:t xml:space="preserve"> расширения возможностей трудоустройства граждан, испытывающих трудности в поиске работы, организовано 270 ярмарок вакансий и учебных рабочих мест.</w:t>
      </w:r>
    </w:p>
    <w:p w:rsidR="00B93BB7" w:rsidRPr="00BE108E" w:rsidRDefault="00B93BB7" w:rsidP="00B93BB7">
      <w:pPr>
        <w:pStyle w:val="Default"/>
        <w:ind w:firstLine="851"/>
        <w:jc w:val="both"/>
        <w:rPr>
          <w:sz w:val="28"/>
          <w:szCs w:val="28"/>
        </w:rPr>
      </w:pPr>
      <w:r w:rsidRPr="00BE108E">
        <w:rPr>
          <w:sz w:val="28"/>
          <w:szCs w:val="28"/>
        </w:rPr>
        <w:t>Обеспечивалось создание условий для интеграции в трудовую деятельность лиц с ограниченными физическими возможностями, в том числе посредством создания 80 специально оборудованных рабочих мест для инвалидов.</w:t>
      </w:r>
    </w:p>
    <w:p w:rsidR="00B93BB7" w:rsidRPr="00BE108E" w:rsidRDefault="00B93BB7" w:rsidP="00B93BB7">
      <w:pPr>
        <w:pStyle w:val="Default"/>
        <w:ind w:firstLine="851"/>
        <w:jc w:val="both"/>
        <w:rPr>
          <w:sz w:val="28"/>
          <w:szCs w:val="28"/>
        </w:rPr>
      </w:pPr>
      <w:r w:rsidRPr="00BE108E">
        <w:rPr>
          <w:sz w:val="28"/>
          <w:szCs w:val="28"/>
        </w:rPr>
        <w:t>Материальная поддержка, включая выплату стипендий гражданам, проходящим профессиональное обучение по направлению органов службы занятости, оказана 24 616 безработным гражданам.</w:t>
      </w:r>
    </w:p>
    <w:p w:rsidR="00B93BB7" w:rsidRPr="00BE108E" w:rsidRDefault="00B93BB7" w:rsidP="00B93BB7">
      <w:pPr>
        <w:pStyle w:val="Default"/>
        <w:ind w:firstLine="851"/>
        <w:jc w:val="both"/>
        <w:rPr>
          <w:sz w:val="28"/>
          <w:szCs w:val="28"/>
        </w:rPr>
      </w:pPr>
      <w:proofErr w:type="gramStart"/>
      <w:r w:rsidRPr="00BE108E">
        <w:rPr>
          <w:sz w:val="28"/>
          <w:szCs w:val="28"/>
        </w:rPr>
        <w:t xml:space="preserve">В целях смягчения последствий миграционного оттока населения трудоспособного возраста и </w:t>
      </w:r>
      <w:r w:rsidRPr="00BE108E">
        <w:rPr>
          <w:b/>
          <w:sz w:val="28"/>
          <w:szCs w:val="28"/>
        </w:rPr>
        <w:t>привлечения дополнительных трудовых ресурсов</w:t>
      </w:r>
      <w:r w:rsidRPr="00BE108E">
        <w:rPr>
          <w:sz w:val="28"/>
          <w:szCs w:val="28"/>
        </w:rPr>
        <w:t xml:space="preserve"> в регион</w:t>
      </w:r>
      <w:r w:rsidRPr="00BE108E">
        <w:t xml:space="preserve"> </w:t>
      </w:r>
      <w:r w:rsidRPr="00BE108E">
        <w:rPr>
          <w:sz w:val="28"/>
          <w:szCs w:val="28"/>
        </w:rPr>
        <w:t>созданы условия для переселения в Мурманскую область на постоянное место жительства 1080 соотечественников и членов их семей.</w:t>
      </w:r>
      <w:proofErr w:type="gramEnd"/>
      <w:r w:rsidRPr="00BE108E">
        <w:rPr>
          <w:sz w:val="28"/>
          <w:szCs w:val="28"/>
        </w:rPr>
        <w:t xml:space="preserve"> Единовременную денежную выплату на жилищное обустройство получили 436 человек, единовременную финансовую помощь получили 178</w:t>
      </w:r>
      <w:r w:rsidR="00BF2C89" w:rsidRPr="00BE108E">
        <w:rPr>
          <w:sz w:val="28"/>
          <w:szCs w:val="28"/>
        </w:rPr>
        <w:t xml:space="preserve"> </w:t>
      </w:r>
      <w:r w:rsidRPr="00BE108E">
        <w:rPr>
          <w:sz w:val="28"/>
          <w:szCs w:val="28"/>
        </w:rPr>
        <w:t>граждан Украины, имеющих статус беженца или получивших временное убежище на территории Российской Федерации.</w:t>
      </w:r>
    </w:p>
    <w:p w:rsidR="00B93BB7" w:rsidRPr="00BE108E" w:rsidRDefault="00B93BB7" w:rsidP="00B93BB7">
      <w:pPr>
        <w:pStyle w:val="Default"/>
        <w:ind w:firstLine="851"/>
        <w:jc w:val="both"/>
        <w:rPr>
          <w:bCs/>
          <w:sz w:val="28"/>
          <w:szCs w:val="28"/>
        </w:rPr>
      </w:pPr>
      <w:r w:rsidRPr="00BE108E">
        <w:rPr>
          <w:color w:val="auto"/>
          <w:sz w:val="28"/>
          <w:szCs w:val="28"/>
        </w:rPr>
        <w:t>Всего на 2014 год по государственной программе были предусмотрены к выполнению 13 показателей целей и задач, все из них достигнуты или перевыполнены, средняя степень достижения показателей государственной программы – 121,65</w:t>
      </w:r>
      <w:r w:rsidR="00BF2C89" w:rsidRPr="00BE108E">
        <w:rPr>
          <w:color w:val="auto"/>
          <w:sz w:val="28"/>
          <w:szCs w:val="28"/>
        </w:rPr>
        <w:t>%</w:t>
      </w:r>
      <w:r w:rsidRPr="00BE108E">
        <w:rPr>
          <w:color w:val="auto"/>
          <w:sz w:val="28"/>
          <w:szCs w:val="28"/>
        </w:rPr>
        <w:t xml:space="preserve">. </w:t>
      </w:r>
      <w:r w:rsidRPr="00BE108E">
        <w:rPr>
          <w:sz w:val="28"/>
          <w:szCs w:val="28"/>
        </w:rPr>
        <w:t>Превышение ф</w:t>
      </w:r>
      <w:r w:rsidRPr="00BE108E">
        <w:rPr>
          <w:bCs/>
          <w:sz w:val="28"/>
          <w:szCs w:val="28"/>
        </w:rPr>
        <w:t xml:space="preserve">актических значений показателей </w:t>
      </w:r>
      <w:proofErr w:type="gramStart"/>
      <w:r w:rsidRPr="00BE108E">
        <w:rPr>
          <w:bCs/>
          <w:sz w:val="28"/>
          <w:szCs w:val="28"/>
        </w:rPr>
        <w:t>над</w:t>
      </w:r>
      <w:proofErr w:type="gramEnd"/>
      <w:r w:rsidRPr="00BE108E">
        <w:rPr>
          <w:bCs/>
          <w:sz w:val="28"/>
          <w:szCs w:val="28"/>
        </w:rPr>
        <w:t xml:space="preserve"> плановыми связан</w:t>
      </w:r>
      <w:r w:rsidR="00167178">
        <w:rPr>
          <w:bCs/>
          <w:sz w:val="28"/>
          <w:szCs w:val="28"/>
        </w:rPr>
        <w:t>о</w:t>
      </w:r>
      <w:r w:rsidRPr="00BE108E">
        <w:rPr>
          <w:bCs/>
          <w:sz w:val="28"/>
          <w:szCs w:val="28"/>
        </w:rPr>
        <w:t xml:space="preserve"> с заявительным принципом предоставления государственных услуг в сфере занятости населения. Также значительно перевыполнен (245,5%) показатель по количеству соотечественников, переселившихся в Мурманскую область, за счет граждан, вынужден</w:t>
      </w:r>
      <w:r w:rsidR="00167178">
        <w:rPr>
          <w:bCs/>
          <w:sz w:val="28"/>
          <w:szCs w:val="28"/>
        </w:rPr>
        <w:t>н</w:t>
      </w:r>
      <w:r w:rsidRPr="00BE108E">
        <w:rPr>
          <w:bCs/>
          <w:sz w:val="28"/>
          <w:szCs w:val="28"/>
        </w:rPr>
        <w:t>о покинувших территорию Украины.</w:t>
      </w:r>
    </w:p>
    <w:p w:rsidR="00B93BB7" w:rsidRPr="00BE108E" w:rsidRDefault="00B93BB7" w:rsidP="00B93BB7">
      <w:pPr>
        <w:pStyle w:val="Default"/>
        <w:ind w:firstLine="851"/>
        <w:jc w:val="both"/>
        <w:rPr>
          <w:sz w:val="28"/>
          <w:szCs w:val="28"/>
        </w:rPr>
      </w:pPr>
      <w:r w:rsidRPr="00BE108E">
        <w:rPr>
          <w:sz w:val="28"/>
          <w:szCs w:val="28"/>
        </w:rPr>
        <w:t xml:space="preserve">В </w:t>
      </w:r>
      <w:proofErr w:type="gramStart"/>
      <w:r w:rsidRPr="00BE108E">
        <w:rPr>
          <w:sz w:val="28"/>
          <w:szCs w:val="28"/>
        </w:rPr>
        <w:t>результате</w:t>
      </w:r>
      <w:proofErr w:type="gramEnd"/>
      <w:r w:rsidRPr="00BE108E">
        <w:rPr>
          <w:sz w:val="28"/>
          <w:szCs w:val="28"/>
        </w:rPr>
        <w:t xml:space="preserve"> реализации мероприятий программы к концу 2014 года численность безработных граждан снизилась по сравнению с его началом на 1,4% и составила 6824 человека, уровень регистрируемой безработицы снизился с 1,5% до 1,46% экономически активного населения. Уровень общей безработицы снизился с 7,2% в среднем за 2013 год до 6,7% в 2014 году. Средняя продолжительность безработицы снизилась на 6% и составила 4,7 месяца.</w:t>
      </w:r>
    </w:p>
    <w:p w:rsidR="00FF4E43" w:rsidRDefault="00B93BB7" w:rsidP="00D064E3">
      <w:pPr>
        <w:pStyle w:val="Default"/>
        <w:ind w:firstLine="851"/>
        <w:jc w:val="both"/>
        <w:rPr>
          <w:noProof/>
        </w:rPr>
      </w:pPr>
      <w:r w:rsidRPr="00BE108E">
        <w:rPr>
          <w:color w:val="auto"/>
          <w:sz w:val="28"/>
          <w:szCs w:val="28"/>
        </w:rPr>
        <w:t>Интегральный показатель эффективности реализации государственной программы составил 93%, что в соответствии с утвержденной методикой характеризует ход реализации программы, как эффективный.</w:t>
      </w:r>
      <w:r w:rsidR="002F00D1" w:rsidRPr="00BE108E">
        <w:rPr>
          <w:noProof/>
        </w:rPr>
        <w:t xml:space="preserve"> </w:t>
      </w:r>
    </w:p>
    <w:p w:rsidR="00AE272B" w:rsidRPr="00BE108E" w:rsidRDefault="00AE272B" w:rsidP="00D064E3">
      <w:pPr>
        <w:pStyle w:val="Default"/>
        <w:ind w:firstLine="851"/>
        <w:jc w:val="both"/>
        <w:rPr>
          <w:rStyle w:val="FontStyle14"/>
          <w:sz w:val="28"/>
          <w:szCs w:val="28"/>
        </w:rPr>
      </w:pPr>
    </w:p>
    <w:p w:rsidR="00B93BB7" w:rsidRPr="00BE108E" w:rsidRDefault="00B93BB7" w:rsidP="00B93BB7">
      <w:pPr>
        <w:pStyle w:val="1"/>
      </w:pPr>
      <w:r w:rsidRPr="00BE108E">
        <w:lastRenderedPageBreak/>
        <w:t xml:space="preserve">Государственная программа 7 «Обеспечение комфортной среды проживания населения региона» </w:t>
      </w:r>
    </w:p>
    <w:p w:rsidR="00D064E3" w:rsidRPr="00BE108E" w:rsidRDefault="00D064E3" w:rsidP="00D064E3">
      <w:pPr>
        <w:pStyle w:val="ConsPlusCell"/>
        <w:ind w:firstLine="709"/>
        <w:jc w:val="both"/>
        <w:rPr>
          <w:rStyle w:val="FontStyle14"/>
          <w:sz w:val="28"/>
          <w:szCs w:val="28"/>
        </w:rPr>
      </w:pPr>
    </w:p>
    <w:p w:rsidR="00D064E3" w:rsidRPr="00BE108E" w:rsidRDefault="00D064E3" w:rsidP="00D064E3">
      <w:pPr>
        <w:pStyle w:val="ConsPlusCell"/>
        <w:jc w:val="both"/>
        <w:rPr>
          <w:rStyle w:val="FontStyle14"/>
          <w:sz w:val="28"/>
          <w:szCs w:val="28"/>
        </w:rPr>
      </w:pPr>
      <w:r w:rsidRPr="00BE108E">
        <w:rPr>
          <w:noProof/>
        </w:rPr>
        <w:drawing>
          <wp:inline distT="0" distB="0" distL="0" distR="0">
            <wp:extent cx="2424224" cy="3062177"/>
            <wp:effectExtent l="0" t="0" r="14605" b="2413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rStyle w:val="FontStyle14"/>
          <w:sz w:val="28"/>
          <w:szCs w:val="28"/>
        </w:rPr>
        <w:t xml:space="preserve"> </w:t>
      </w:r>
      <w:r w:rsidRPr="00BE108E">
        <w:rPr>
          <w:noProof/>
        </w:rPr>
        <w:drawing>
          <wp:inline distT="0" distB="0" distL="0" distR="0">
            <wp:extent cx="3604260" cy="3061970"/>
            <wp:effectExtent l="0" t="0" r="15240" b="2413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11</w:t>
      </w:r>
    </w:p>
    <w:p w:rsidR="00B93BB7" w:rsidRPr="00BE108E" w:rsidRDefault="00B93BB7" w:rsidP="00B93BB7">
      <w:pPr>
        <w:rPr>
          <w:szCs w:val="28"/>
        </w:rPr>
      </w:pPr>
    </w:p>
    <w:p w:rsidR="00B93BB7" w:rsidRPr="00BE108E" w:rsidRDefault="00B93BB7" w:rsidP="00B93BB7">
      <w:pPr>
        <w:pStyle w:val="Default"/>
        <w:ind w:firstLine="709"/>
        <w:jc w:val="both"/>
        <w:rPr>
          <w:color w:val="auto"/>
          <w:sz w:val="28"/>
          <w:szCs w:val="28"/>
        </w:rPr>
      </w:pPr>
      <w:r w:rsidRPr="00BE108E">
        <w:rPr>
          <w:color w:val="auto"/>
          <w:sz w:val="28"/>
          <w:szCs w:val="28"/>
        </w:rPr>
        <w:t xml:space="preserve">По состоянию на конец отчетного периода общий объем финансирования, запланированный на реализацию государственной программы, составил 2 145,5 млн. рублей. </w:t>
      </w:r>
    </w:p>
    <w:p w:rsidR="00B93BB7" w:rsidRPr="00BE108E" w:rsidRDefault="00B93BB7" w:rsidP="00B93BB7">
      <w:pPr>
        <w:tabs>
          <w:tab w:val="left" w:pos="0"/>
        </w:tabs>
        <w:suppressAutoHyphens/>
        <w:rPr>
          <w:szCs w:val="28"/>
        </w:rPr>
      </w:pPr>
      <w:r w:rsidRPr="00BE108E">
        <w:rPr>
          <w:szCs w:val="28"/>
        </w:rPr>
        <w:t>Общая сумма расходов за 2014 год составила 1 907,2 млн. рублей (88,9% от предусмотренного объема), в том числе за счет средств областного бюджета – 971,9 млн. рублей (98%), федерального бюджета – 420,8 млн. рублей (65,9%), местных бюджетов – 396</w:t>
      </w:r>
      <w:r w:rsidR="00EF64DF" w:rsidRPr="00BE108E">
        <w:rPr>
          <w:szCs w:val="28"/>
        </w:rPr>
        <w:t xml:space="preserve"> млн. рублей</w:t>
      </w:r>
      <w:r w:rsidRPr="00BE108E">
        <w:rPr>
          <w:szCs w:val="28"/>
        </w:rPr>
        <w:t xml:space="preserve"> (85,4%), внебюджетных средств – 118,4 млн. рублей (232,2%). Низкая степень освоения средств федерального бюджета связана с</w:t>
      </w:r>
      <w:r w:rsidR="00BF2C89" w:rsidRPr="00BE108E">
        <w:rPr>
          <w:color w:val="FF0000"/>
          <w:szCs w:val="28"/>
        </w:rPr>
        <w:t xml:space="preserve"> </w:t>
      </w:r>
      <w:r w:rsidRPr="00BE108E">
        <w:rPr>
          <w:szCs w:val="28"/>
        </w:rPr>
        <w:t xml:space="preserve">перечислением федеральных средств в декабре 2014 года на завершение работ по капитальному ремонту многоквартирных домов в 2015 году, а также невыполнением мероприятия по реконструкции системы водоснабжения </w:t>
      </w:r>
      <w:proofErr w:type="gramStart"/>
      <w:r w:rsidRPr="00BE108E">
        <w:rPr>
          <w:szCs w:val="28"/>
        </w:rPr>
        <w:t>г</w:t>
      </w:r>
      <w:proofErr w:type="gramEnd"/>
      <w:r w:rsidRPr="00BE108E">
        <w:rPr>
          <w:szCs w:val="28"/>
        </w:rPr>
        <w:t>.п. Ревда.</w:t>
      </w:r>
    </w:p>
    <w:p w:rsidR="00B93BB7" w:rsidRPr="00BE108E" w:rsidRDefault="00B93BB7" w:rsidP="00B93BB7">
      <w:pPr>
        <w:tabs>
          <w:tab w:val="left" w:pos="0"/>
        </w:tabs>
        <w:suppressAutoHyphens/>
        <w:rPr>
          <w:szCs w:val="28"/>
        </w:rPr>
      </w:pPr>
      <w:r w:rsidRPr="00BE108E">
        <w:rPr>
          <w:szCs w:val="28"/>
        </w:rPr>
        <w:t xml:space="preserve">Превышение плановых объемов финансирования за счет средств внебюджетных источников обусловлено увеличением затрат на приобретение жилых помещений за счет средств молодых семей </w:t>
      </w:r>
      <w:r w:rsidR="00EF64DF" w:rsidRPr="00BE108E">
        <w:rPr>
          <w:szCs w:val="28"/>
        </w:rPr>
        <w:t>–</w:t>
      </w:r>
      <w:r w:rsidRPr="00BE108E">
        <w:rPr>
          <w:szCs w:val="28"/>
        </w:rPr>
        <w:t xml:space="preserve"> участников программы в связи с увеличением стоимости жилья на вторичном рынке.</w:t>
      </w:r>
    </w:p>
    <w:p w:rsidR="00B93BB7" w:rsidRPr="00BE108E" w:rsidRDefault="00B93BB7" w:rsidP="00B93BB7">
      <w:pPr>
        <w:autoSpaceDE w:val="0"/>
        <w:autoSpaceDN w:val="0"/>
        <w:adjustRightInd w:val="0"/>
        <w:rPr>
          <w:szCs w:val="28"/>
        </w:rPr>
      </w:pPr>
      <w:r w:rsidRPr="00BE108E">
        <w:rPr>
          <w:szCs w:val="28"/>
        </w:rPr>
        <w:t xml:space="preserve">В отчетном периоде </w:t>
      </w:r>
      <w:r w:rsidRPr="00BE108E">
        <w:rPr>
          <w:b/>
          <w:szCs w:val="28"/>
        </w:rPr>
        <w:t>в рамках реализации мероприятий по с</w:t>
      </w:r>
      <w:r w:rsidRPr="00BE108E">
        <w:rPr>
          <w:b/>
          <w:bCs/>
          <w:iCs/>
          <w:szCs w:val="28"/>
        </w:rPr>
        <w:t xml:space="preserve">озданию условий для развития строительства жилья экономкласса </w:t>
      </w:r>
      <w:r w:rsidRPr="00BE108E">
        <w:rPr>
          <w:szCs w:val="28"/>
        </w:rPr>
        <w:t>за</w:t>
      </w:r>
      <w:r w:rsidRPr="00BE108E">
        <w:rPr>
          <w:b/>
          <w:bCs/>
          <w:iCs/>
          <w:szCs w:val="28"/>
        </w:rPr>
        <w:t xml:space="preserve"> </w:t>
      </w:r>
      <w:r w:rsidRPr="00BE108E">
        <w:rPr>
          <w:szCs w:val="28"/>
        </w:rPr>
        <w:t>счет бюджетных средств осуществлялось строительство 60-квартирного жилого дома по ул. </w:t>
      </w:r>
      <w:proofErr w:type="gramStart"/>
      <w:r w:rsidRPr="00BE108E">
        <w:rPr>
          <w:szCs w:val="28"/>
        </w:rPr>
        <w:t>Пионерская</w:t>
      </w:r>
      <w:proofErr w:type="gramEnd"/>
      <w:r w:rsidRPr="00BE108E">
        <w:rPr>
          <w:szCs w:val="28"/>
        </w:rPr>
        <w:t xml:space="preserve"> в с.п. Ловозеро, окончание строительства которого согласно контракту планируется в 2015 году.</w:t>
      </w:r>
    </w:p>
    <w:p w:rsidR="00B93BB7" w:rsidRPr="00BE108E" w:rsidRDefault="00B93BB7" w:rsidP="00B93BB7">
      <w:pPr>
        <w:autoSpaceDE w:val="0"/>
        <w:autoSpaceDN w:val="0"/>
        <w:adjustRightInd w:val="0"/>
        <w:rPr>
          <w:color w:val="FF0000"/>
          <w:szCs w:val="28"/>
        </w:rPr>
      </w:pPr>
      <w:r w:rsidRPr="00BE108E">
        <w:rPr>
          <w:szCs w:val="28"/>
        </w:rPr>
        <w:t>По итогам года муниципальными образованиями Мурманской области сформировано 454 земельных участка для предоставления многодетным семьям, в том числе 275 участк</w:t>
      </w:r>
      <w:r w:rsidR="00A85FBF">
        <w:rPr>
          <w:szCs w:val="28"/>
        </w:rPr>
        <w:t>ов</w:t>
      </w:r>
      <w:r w:rsidRPr="00BE108E">
        <w:rPr>
          <w:szCs w:val="28"/>
        </w:rPr>
        <w:t xml:space="preserve"> за счет субсидии из областного бюджета </w:t>
      </w:r>
      <w:r w:rsidRPr="00BE108E">
        <w:rPr>
          <w:bCs/>
          <w:szCs w:val="28"/>
        </w:rPr>
        <w:t xml:space="preserve">на реализацию мероприятий по планировке территорий, формированию </w:t>
      </w:r>
      <w:r w:rsidRPr="00BE108E">
        <w:rPr>
          <w:bCs/>
          <w:szCs w:val="28"/>
        </w:rPr>
        <w:lastRenderedPageBreak/>
        <w:t>(образованию) земельных участков, предоставленных на безвозмездной основе многодетным семьям, и обеспечению их объектами коммунальной и дорожной инфраструктуры. И</w:t>
      </w:r>
      <w:r w:rsidRPr="00BE108E">
        <w:rPr>
          <w:szCs w:val="28"/>
        </w:rPr>
        <w:t>з них в собственность граждан было предоставлено 220 участк</w:t>
      </w:r>
      <w:r w:rsidR="00A85FBF">
        <w:rPr>
          <w:szCs w:val="28"/>
        </w:rPr>
        <w:t>ов</w:t>
      </w:r>
      <w:r w:rsidRPr="00BE108E">
        <w:rPr>
          <w:szCs w:val="28"/>
        </w:rPr>
        <w:t xml:space="preserve">, что на 18% превышает аналогичный показатель 2013 года. </w:t>
      </w:r>
    </w:p>
    <w:p w:rsidR="00B93BB7" w:rsidRPr="00BE108E" w:rsidRDefault="00B93BB7" w:rsidP="00B93BB7">
      <w:pPr>
        <w:pStyle w:val="Default"/>
        <w:ind w:firstLine="709"/>
        <w:jc w:val="both"/>
        <w:rPr>
          <w:color w:val="auto"/>
          <w:sz w:val="28"/>
          <w:szCs w:val="28"/>
        </w:rPr>
      </w:pPr>
      <w:proofErr w:type="gramStart"/>
      <w:r w:rsidRPr="00BE108E">
        <w:rPr>
          <w:b/>
          <w:color w:val="auto"/>
          <w:sz w:val="28"/>
          <w:szCs w:val="28"/>
          <w:lang w:eastAsia="en-US"/>
        </w:rPr>
        <w:t>В целях обеспечения удобного и безопасного проживания населения Мурманской области</w:t>
      </w:r>
      <w:r w:rsidRPr="00BE108E">
        <w:rPr>
          <w:color w:val="auto"/>
          <w:sz w:val="28"/>
          <w:szCs w:val="28"/>
        </w:rPr>
        <w:t xml:space="preserve"> завершен</w:t>
      </w:r>
      <w:r w:rsidR="00167178">
        <w:rPr>
          <w:color w:val="auto"/>
          <w:sz w:val="28"/>
          <w:szCs w:val="28"/>
        </w:rPr>
        <w:t>а</w:t>
      </w:r>
      <w:r w:rsidRPr="00BE108E">
        <w:rPr>
          <w:color w:val="auto"/>
          <w:sz w:val="28"/>
          <w:szCs w:val="28"/>
        </w:rPr>
        <w:t xml:space="preserve"> реконструкция участка водовода в г. Мончегорске протяженностью 1,3 км и </w:t>
      </w:r>
      <w:r w:rsidR="00167178" w:rsidRPr="005C639B">
        <w:rPr>
          <w:color w:val="auto"/>
          <w:sz w:val="28"/>
          <w:szCs w:val="28"/>
        </w:rPr>
        <w:t xml:space="preserve">реализация </w:t>
      </w:r>
      <w:r w:rsidRPr="005C639B">
        <w:rPr>
          <w:color w:val="auto"/>
          <w:sz w:val="28"/>
          <w:szCs w:val="28"/>
        </w:rPr>
        <w:t>1 этап</w:t>
      </w:r>
      <w:r w:rsidR="00167178" w:rsidRPr="005C639B">
        <w:rPr>
          <w:color w:val="auto"/>
          <w:sz w:val="28"/>
          <w:szCs w:val="28"/>
        </w:rPr>
        <w:t>а</w:t>
      </w:r>
      <w:r w:rsidRPr="005C639B">
        <w:rPr>
          <w:color w:val="auto"/>
          <w:sz w:val="28"/>
          <w:szCs w:val="28"/>
        </w:rPr>
        <w:t xml:space="preserve"> </w:t>
      </w:r>
      <w:r w:rsidR="00167178" w:rsidRPr="005C639B">
        <w:rPr>
          <w:color w:val="auto"/>
          <w:sz w:val="28"/>
          <w:szCs w:val="28"/>
        </w:rPr>
        <w:t>строительств</w:t>
      </w:r>
      <w:r w:rsidR="005C639B" w:rsidRPr="005C639B">
        <w:rPr>
          <w:color w:val="auto"/>
          <w:sz w:val="28"/>
          <w:szCs w:val="28"/>
        </w:rPr>
        <w:t>а</w:t>
      </w:r>
      <w:r w:rsidR="00167178" w:rsidRPr="005C639B">
        <w:rPr>
          <w:color w:val="auto"/>
          <w:sz w:val="28"/>
          <w:szCs w:val="28"/>
        </w:rPr>
        <w:t xml:space="preserve"> </w:t>
      </w:r>
      <w:r w:rsidRPr="005C639B">
        <w:rPr>
          <w:color w:val="auto"/>
          <w:sz w:val="28"/>
          <w:szCs w:val="28"/>
        </w:rPr>
        <w:t>водовода сырой воды в г. Ковдоре протяженностью 4,1 км.</w:t>
      </w:r>
      <w:proofErr w:type="gramEnd"/>
      <w:r w:rsidRPr="005C639B">
        <w:rPr>
          <w:color w:val="auto"/>
          <w:sz w:val="28"/>
          <w:szCs w:val="28"/>
        </w:rPr>
        <w:t xml:space="preserve"> Осуществлялись работы по разработке проектной документации на строительство</w:t>
      </w:r>
      <w:r w:rsidRPr="00BE108E">
        <w:rPr>
          <w:color w:val="auto"/>
          <w:sz w:val="28"/>
          <w:szCs w:val="28"/>
        </w:rPr>
        <w:t xml:space="preserve"> Южных ОСК в г. Мурманске, завершение которых планируется в 201</w:t>
      </w:r>
      <w:r w:rsidR="00EF64DF" w:rsidRPr="00BE108E">
        <w:rPr>
          <w:color w:val="auto"/>
          <w:sz w:val="28"/>
          <w:szCs w:val="28"/>
        </w:rPr>
        <w:t>5</w:t>
      </w:r>
      <w:r w:rsidRPr="00BE108E">
        <w:rPr>
          <w:color w:val="auto"/>
          <w:sz w:val="28"/>
          <w:szCs w:val="28"/>
        </w:rPr>
        <w:t xml:space="preserve"> год</w:t>
      </w:r>
      <w:r w:rsidR="00EF64DF" w:rsidRPr="00BE108E">
        <w:rPr>
          <w:color w:val="auto"/>
          <w:sz w:val="28"/>
          <w:szCs w:val="28"/>
        </w:rPr>
        <w:t>у</w:t>
      </w:r>
      <w:r w:rsidRPr="00BE108E">
        <w:rPr>
          <w:color w:val="auto"/>
          <w:sz w:val="28"/>
          <w:szCs w:val="28"/>
        </w:rPr>
        <w:t xml:space="preserve">. </w:t>
      </w:r>
    </w:p>
    <w:p w:rsidR="00B93BB7" w:rsidRPr="00BE108E" w:rsidRDefault="00B93BB7" w:rsidP="00B93BB7">
      <w:pPr>
        <w:pStyle w:val="Default"/>
        <w:ind w:firstLine="709"/>
        <w:jc w:val="both"/>
        <w:rPr>
          <w:color w:val="auto"/>
          <w:sz w:val="28"/>
          <w:szCs w:val="28"/>
          <w:lang w:eastAsia="en-US"/>
        </w:rPr>
      </w:pPr>
      <w:r w:rsidRPr="00BE108E">
        <w:rPr>
          <w:color w:val="auto"/>
          <w:sz w:val="28"/>
          <w:szCs w:val="28"/>
        </w:rPr>
        <w:t>В связи с внесением изменений в проектную документацию и длительностью сроков поставки технологического оборудования не были завершены работы по</w:t>
      </w:r>
      <w:r w:rsidRPr="00BE108E">
        <w:rPr>
          <w:sz w:val="28"/>
          <w:szCs w:val="28"/>
        </w:rPr>
        <w:t xml:space="preserve"> </w:t>
      </w:r>
      <w:r w:rsidRPr="00BE108E">
        <w:rPr>
          <w:color w:val="auto"/>
          <w:sz w:val="28"/>
          <w:szCs w:val="28"/>
          <w:lang w:eastAsia="en-US"/>
        </w:rPr>
        <w:t>расширению и реконструкции канализации в г.</w:t>
      </w:r>
      <w:r w:rsidR="00EF64DF" w:rsidRPr="00BE108E">
        <w:rPr>
          <w:color w:val="auto"/>
          <w:sz w:val="28"/>
          <w:szCs w:val="28"/>
          <w:lang w:eastAsia="en-US"/>
        </w:rPr>
        <w:t> </w:t>
      </w:r>
      <w:r w:rsidRPr="00BE108E">
        <w:rPr>
          <w:color w:val="auto"/>
          <w:sz w:val="28"/>
          <w:szCs w:val="28"/>
          <w:lang w:eastAsia="en-US"/>
        </w:rPr>
        <w:t>Мурманске и реконструкции водонасосной станции в</w:t>
      </w:r>
      <w:r w:rsidR="00BF2C89" w:rsidRPr="00BE108E">
        <w:rPr>
          <w:color w:val="auto"/>
          <w:sz w:val="28"/>
          <w:szCs w:val="28"/>
          <w:lang w:eastAsia="en-US"/>
        </w:rPr>
        <w:t xml:space="preserve"> </w:t>
      </w:r>
      <w:r w:rsidRPr="00BE108E">
        <w:rPr>
          <w:color w:val="auto"/>
          <w:sz w:val="28"/>
          <w:szCs w:val="28"/>
          <w:lang w:eastAsia="en-US"/>
        </w:rPr>
        <w:t>г.</w:t>
      </w:r>
      <w:r w:rsidR="005C639B">
        <w:rPr>
          <w:color w:val="auto"/>
          <w:sz w:val="28"/>
          <w:szCs w:val="28"/>
          <w:lang w:eastAsia="en-US"/>
        </w:rPr>
        <w:t> </w:t>
      </w:r>
      <w:proofErr w:type="gramStart"/>
      <w:r w:rsidRPr="00BE108E">
        <w:rPr>
          <w:color w:val="auto"/>
          <w:sz w:val="28"/>
          <w:szCs w:val="28"/>
          <w:lang w:eastAsia="en-US"/>
        </w:rPr>
        <w:t>Заполярный</w:t>
      </w:r>
      <w:proofErr w:type="gramEnd"/>
      <w:r w:rsidRPr="00BE108E">
        <w:rPr>
          <w:color w:val="auto"/>
          <w:sz w:val="28"/>
          <w:szCs w:val="28"/>
          <w:lang w:eastAsia="en-US"/>
        </w:rPr>
        <w:t xml:space="preserve">. Завершение строительных работ и ввод объектов в эксплуатацию планируется в 2015 году. По причине отсутствия согласования со стороны Минфина России об использовании средств федерального бюджета не реализовано мероприятие по реконструкции системы водоснабжения </w:t>
      </w:r>
      <w:r w:rsidR="00B63F0D" w:rsidRPr="00BE108E">
        <w:rPr>
          <w:color w:val="auto"/>
          <w:sz w:val="28"/>
          <w:szCs w:val="28"/>
          <w:lang w:eastAsia="en-US"/>
        </w:rPr>
        <w:t>г.п. Ревда</w:t>
      </w:r>
      <w:r w:rsidRPr="00BE108E">
        <w:rPr>
          <w:color w:val="auto"/>
          <w:sz w:val="28"/>
          <w:szCs w:val="28"/>
          <w:lang w:eastAsia="en-US"/>
        </w:rPr>
        <w:t xml:space="preserve">. </w:t>
      </w:r>
    </w:p>
    <w:p w:rsidR="00B93BB7" w:rsidRPr="00BE108E" w:rsidRDefault="00B93BB7" w:rsidP="00B93BB7">
      <w:pPr>
        <w:autoSpaceDE w:val="0"/>
        <w:autoSpaceDN w:val="0"/>
        <w:adjustRightInd w:val="0"/>
        <w:rPr>
          <w:szCs w:val="28"/>
        </w:rPr>
      </w:pPr>
      <w:r w:rsidRPr="00BE108E">
        <w:rPr>
          <w:szCs w:val="28"/>
        </w:rPr>
        <w:t xml:space="preserve">По результатам проводимых мероприятий отмечено сокращение доли водопроводной сети, нуждающейся в замене, в суммарной протяженности водопроводной сети до 43,3% (2013 году </w:t>
      </w:r>
      <w:r w:rsidR="00EF64DF" w:rsidRPr="00BE108E">
        <w:rPr>
          <w:szCs w:val="28"/>
        </w:rPr>
        <w:t>–</w:t>
      </w:r>
      <w:r w:rsidRPr="00BE108E">
        <w:rPr>
          <w:szCs w:val="28"/>
        </w:rPr>
        <w:t xml:space="preserve"> 46,2%).</w:t>
      </w:r>
    </w:p>
    <w:p w:rsidR="00B93BB7" w:rsidRPr="00BE108E" w:rsidRDefault="00B93BB7" w:rsidP="00B93BB7">
      <w:pPr>
        <w:rPr>
          <w:bCs/>
          <w:szCs w:val="28"/>
        </w:rPr>
      </w:pPr>
      <w:r w:rsidRPr="00BE108E">
        <w:rPr>
          <w:szCs w:val="28"/>
        </w:rPr>
        <w:t xml:space="preserve">Для </w:t>
      </w:r>
      <w:r w:rsidRPr="00BE108E">
        <w:rPr>
          <w:b/>
          <w:szCs w:val="28"/>
        </w:rPr>
        <w:t>расселения граждан</w:t>
      </w:r>
      <w:r w:rsidRPr="00BE108E">
        <w:rPr>
          <w:b/>
          <w:kern w:val="28"/>
          <w:szCs w:val="28"/>
        </w:rPr>
        <w:t xml:space="preserve"> из аварийного жилищного фонда</w:t>
      </w:r>
      <w:r w:rsidRPr="00BE108E">
        <w:rPr>
          <w:kern w:val="28"/>
          <w:szCs w:val="28"/>
        </w:rPr>
        <w:t xml:space="preserve"> в</w:t>
      </w:r>
      <w:r w:rsidRPr="00BE108E">
        <w:rPr>
          <w:szCs w:val="28"/>
        </w:rPr>
        <w:t xml:space="preserve"> рамках реализации региональных программ по переселению граждан из аварийного жилищного фонда</w:t>
      </w:r>
      <w:r w:rsidRPr="00BE108E">
        <w:rPr>
          <w:b/>
          <w:szCs w:val="28"/>
        </w:rPr>
        <w:t xml:space="preserve"> </w:t>
      </w:r>
      <w:r w:rsidRPr="00BE108E">
        <w:rPr>
          <w:kern w:val="28"/>
          <w:szCs w:val="28"/>
        </w:rPr>
        <w:t>введено 10 многоквартирных жилых домов: 3 дома в</w:t>
      </w:r>
      <w:r w:rsidR="00BF2C89" w:rsidRPr="00BE108E">
        <w:rPr>
          <w:kern w:val="28"/>
          <w:szCs w:val="28"/>
        </w:rPr>
        <w:t xml:space="preserve"> </w:t>
      </w:r>
      <w:r w:rsidRPr="00BE108E">
        <w:rPr>
          <w:kern w:val="28"/>
          <w:szCs w:val="28"/>
        </w:rPr>
        <w:t>г. Мурманске, 3 дома в г. Кандалакш</w:t>
      </w:r>
      <w:r w:rsidR="00EF64DF" w:rsidRPr="00BE108E">
        <w:rPr>
          <w:kern w:val="28"/>
          <w:szCs w:val="28"/>
        </w:rPr>
        <w:t>е</w:t>
      </w:r>
      <w:r w:rsidRPr="00BE108E">
        <w:rPr>
          <w:kern w:val="28"/>
          <w:szCs w:val="28"/>
        </w:rPr>
        <w:t>, 1 дом в Мончегорске, 2 дома в г.п.</w:t>
      </w:r>
      <w:r w:rsidR="00EF64DF" w:rsidRPr="00BE108E">
        <w:rPr>
          <w:kern w:val="28"/>
          <w:szCs w:val="28"/>
        </w:rPr>
        <w:t> </w:t>
      </w:r>
      <w:r w:rsidRPr="00BE108E">
        <w:rPr>
          <w:kern w:val="28"/>
          <w:szCs w:val="28"/>
        </w:rPr>
        <w:t>Умба, 1 дом в г.п.</w:t>
      </w:r>
      <w:r w:rsidR="00EF64DF" w:rsidRPr="00BE108E">
        <w:rPr>
          <w:kern w:val="28"/>
          <w:szCs w:val="28"/>
        </w:rPr>
        <w:t> </w:t>
      </w:r>
      <w:r w:rsidRPr="00BE108E">
        <w:rPr>
          <w:kern w:val="28"/>
          <w:szCs w:val="28"/>
        </w:rPr>
        <w:t>Зеленоборский.</w:t>
      </w:r>
    </w:p>
    <w:p w:rsidR="00B93BB7" w:rsidRPr="00BE108E" w:rsidRDefault="00B93BB7" w:rsidP="00B93BB7">
      <w:pPr>
        <w:rPr>
          <w:bCs/>
          <w:szCs w:val="28"/>
        </w:rPr>
      </w:pPr>
      <w:r w:rsidRPr="00BE108E">
        <w:rPr>
          <w:szCs w:val="28"/>
        </w:rPr>
        <w:t>По результатам реализации программных мероприятий количество граждан, переселенных из непригодного для проживания жилищного фонда, составило 1114 человек (план – 1434). Недостижение планового значения обусловлено переносом сроков ввода в эксплуатацию на 2015 год 4-х домов (г.</w:t>
      </w:r>
      <w:r w:rsidR="00280567" w:rsidRPr="00BE108E">
        <w:rPr>
          <w:szCs w:val="28"/>
        </w:rPr>
        <w:t> </w:t>
      </w:r>
      <w:r w:rsidRPr="00BE108E">
        <w:rPr>
          <w:kern w:val="28"/>
          <w:szCs w:val="28"/>
        </w:rPr>
        <w:t>Кандалакша,</w:t>
      </w:r>
      <w:r w:rsidR="00BF2C89" w:rsidRPr="00BE108E">
        <w:rPr>
          <w:kern w:val="28"/>
          <w:szCs w:val="28"/>
        </w:rPr>
        <w:t xml:space="preserve"> </w:t>
      </w:r>
      <w:r w:rsidRPr="00BE108E">
        <w:rPr>
          <w:kern w:val="28"/>
          <w:szCs w:val="28"/>
        </w:rPr>
        <w:t>г. Мончегорск, г.п. Умба, г.п. Зеленоборский).</w:t>
      </w:r>
    </w:p>
    <w:p w:rsidR="00B93BB7" w:rsidRPr="00BE108E" w:rsidRDefault="00B93BB7" w:rsidP="00B93BB7">
      <w:pPr>
        <w:rPr>
          <w:szCs w:val="28"/>
        </w:rPr>
      </w:pPr>
      <w:r w:rsidRPr="00BE108E">
        <w:rPr>
          <w:szCs w:val="28"/>
        </w:rPr>
        <w:t xml:space="preserve">В связи с уточнением муниципальными образованиями данных по общему количеству жилых помещений, подлежащих расселению, фактическое количество граждан, проживающих в аварийном жилищном фонде, по итогам 2014 года (3396 человек) значительно превысило плановое (2044 человек). </w:t>
      </w:r>
    </w:p>
    <w:p w:rsidR="00B93BB7" w:rsidRPr="00BE108E" w:rsidRDefault="00B93BB7" w:rsidP="00B93BB7">
      <w:pPr>
        <w:rPr>
          <w:szCs w:val="28"/>
        </w:rPr>
      </w:pPr>
      <w:r w:rsidRPr="00BE108E">
        <w:rPr>
          <w:szCs w:val="28"/>
        </w:rPr>
        <w:t xml:space="preserve">В </w:t>
      </w:r>
      <w:proofErr w:type="gramStart"/>
      <w:r w:rsidRPr="00BE108E">
        <w:rPr>
          <w:szCs w:val="28"/>
        </w:rPr>
        <w:t>рамках</w:t>
      </w:r>
      <w:proofErr w:type="gramEnd"/>
      <w:r w:rsidRPr="00BE108E">
        <w:rPr>
          <w:szCs w:val="28"/>
        </w:rPr>
        <w:t xml:space="preserve"> обеспечения </w:t>
      </w:r>
      <w:r w:rsidRPr="00BE108E">
        <w:rPr>
          <w:b/>
          <w:szCs w:val="28"/>
        </w:rPr>
        <w:t>регионального государственного жилищного надзора</w:t>
      </w:r>
      <w:r w:rsidRPr="00BE108E">
        <w:rPr>
          <w:szCs w:val="28"/>
        </w:rPr>
        <w:t xml:space="preserve"> реализованы мероприятия по предупреждению и пресечению нарушений жилищного законодательства </w:t>
      </w:r>
      <w:r w:rsidR="00167178">
        <w:rPr>
          <w:szCs w:val="28"/>
        </w:rPr>
        <w:t>при</w:t>
      </w:r>
      <w:r w:rsidRPr="00BE108E">
        <w:rPr>
          <w:szCs w:val="28"/>
        </w:rPr>
        <w:t xml:space="preserve"> предоставлени</w:t>
      </w:r>
      <w:r w:rsidR="00167178">
        <w:rPr>
          <w:szCs w:val="28"/>
        </w:rPr>
        <w:t>и</w:t>
      </w:r>
      <w:r w:rsidRPr="00BE108E">
        <w:rPr>
          <w:szCs w:val="28"/>
        </w:rPr>
        <w:t xml:space="preserve"> населению жилищных и коммунальных услуг.</w:t>
      </w:r>
    </w:p>
    <w:p w:rsidR="00B93BB7" w:rsidRPr="00BE108E" w:rsidRDefault="00B93BB7" w:rsidP="00B93BB7">
      <w:pPr>
        <w:rPr>
          <w:szCs w:val="28"/>
        </w:rPr>
      </w:pPr>
      <w:r w:rsidRPr="00BE108E">
        <w:rPr>
          <w:szCs w:val="28"/>
        </w:rPr>
        <w:t>В 2014 году в отношении юридических лиц проведено 2600 проверок, количество юридических лиц, в отношении которых проведены плановые, внеплановые проверки составило 355.</w:t>
      </w:r>
    </w:p>
    <w:p w:rsidR="00B93BB7" w:rsidRPr="00BE108E" w:rsidRDefault="00B93BB7" w:rsidP="00B93BB7">
      <w:pPr>
        <w:pStyle w:val="Default"/>
        <w:ind w:firstLine="709"/>
        <w:jc w:val="both"/>
        <w:rPr>
          <w:color w:val="auto"/>
          <w:sz w:val="28"/>
          <w:szCs w:val="28"/>
        </w:rPr>
      </w:pPr>
      <w:proofErr w:type="gramStart"/>
      <w:r w:rsidRPr="00BE108E">
        <w:rPr>
          <w:color w:val="auto"/>
          <w:sz w:val="28"/>
          <w:szCs w:val="28"/>
        </w:rPr>
        <w:t xml:space="preserve">Более чем в 2 раза по сравнению с плановым значением увеличилась площадь обследованного жилищного фонда, что обусловлено усилением надзора за ранее выданными предписаниями по плановым и внеплановым </w:t>
      </w:r>
      <w:r w:rsidRPr="00BE108E">
        <w:rPr>
          <w:color w:val="auto"/>
          <w:sz w:val="28"/>
          <w:szCs w:val="28"/>
        </w:rPr>
        <w:lastRenderedPageBreak/>
        <w:t xml:space="preserve">проверкам, введением практики выдачи повторных предписаний в случае </w:t>
      </w:r>
      <w:proofErr w:type="spellStart"/>
      <w:r w:rsidRPr="00BE108E">
        <w:rPr>
          <w:color w:val="auto"/>
          <w:sz w:val="28"/>
          <w:szCs w:val="28"/>
        </w:rPr>
        <w:t>неустранения</w:t>
      </w:r>
      <w:proofErr w:type="spellEnd"/>
      <w:r w:rsidRPr="00BE108E">
        <w:rPr>
          <w:color w:val="auto"/>
          <w:sz w:val="28"/>
          <w:szCs w:val="28"/>
        </w:rPr>
        <w:t xml:space="preserve"> нарушений, а также проведением работ по обследованию домов, предназначенных для переселения граждан из аварийного жилья.</w:t>
      </w:r>
      <w:proofErr w:type="gramEnd"/>
    </w:p>
    <w:p w:rsidR="00B93BB7" w:rsidRPr="00BE108E" w:rsidRDefault="00B93BB7" w:rsidP="00B93BB7">
      <w:pPr>
        <w:pStyle w:val="Default"/>
        <w:ind w:firstLine="709"/>
        <w:jc w:val="both"/>
        <w:rPr>
          <w:color w:val="auto"/>
          <w:sz w:val="28"/>
          <w:szCs w:val="28"/>
        </w:rPr>
      </w:pPr>
      <w:proofErr w:type="gramStart"/>
      <w:r w:rsidRPr="00BE108E">
        <w:rPr>
          <w:color w:val="auto"/>
          <w:sz w:val="28"/>
          <w:szCs w:val="28"/>
        </w:rPr>
        <w:t>Значительное превышение планового значения по показателю «доля площади жилищного фонда, в отношении которого соблюдаются Стандарты раскрытия информации организациями, осуществляющими деятельность в сфере управления многоквартирными домами, к общей площади жилищного фонда Мурманской области» (80% против 49% по плану) связано с усилением надзора за соблюдением требования Стандарта в части размещения информации в сети Интернет путем проведения систематического наблюдения, то есть без проведения</w:t>
      </w:r>
      <w:proofErr w:type="gramEnd"/>
      <w:r w:rsidRPr="00BE108E">
        <w:rPr>
          <w:color w:val="auto"/>
          <w:sz w:val="28"/>
          <w:szCs w:val="28"/>
        </w:rPr>
        <w:t xml:space="preserve"> проверок.</w:t>
      </w:r>
    </w:p>
    <w:p w:rsidR="00B93BB7" w:rsidRPr="00BE108E" w:rsidRDefault="00B93BB7" w:rsidP="00B93BB7">
      <w:pPr>
        <w:autoSpaceDE w:val="0"/>
        <w:autoSpaceDN w:val="0"/>
        <w:adjustRightInd w:val="0"/>
        <w:rPr>
          <w:szCs w:val="28"/>
        </w:rPr>
      </w:pPr>
      <w:proofErr w:type="gramStart"/>
      <w:r w:rsidRPr="00A85FBF">
        <w:rPr>
          <w:szCs w:val="28"/>
        </w:rPr>
        <w:t>По результатам реализации мероприятий, направленных</w:t>
      </w:r>
      <w:r w:rsidRPr="00BE108E">
        <w:rPr>
          <w:b/>
          <w:szCs w:val="28"/>
        </w:rPr>
        <w:t xml:space="preserve"> на улучшение жилищных условий отдельных категорий граждан, </w:t>
      </w:r>
      <w:r w:rsidRPr="00BE108E">
        <w:rPr>
          <w:szCs w:val="28"/>
        </w:rPr>
        <w:t>получили социальные выплаты и улучшили жилищные условия 103 молодые семьи из 10 муниципальных образований Мурманской области, 19 молодых учителей получили социальные выплаты, которые использовали</w:t>
      </w:r>
      <w:r w:rsidR="00BF2C89" w:rsidRPr="00BE108E">
        <w:rPr>
          <w:szCs w:val="28"/>
        </w:rPr>
        <w:t xml:space="preserve"> </w:t>
      </w:r>
      <w:r w:rsidRPr="00BE108E">
        <w:rPr>
          <w:szCs w:val="28"/>
        </w:rPr>
        <w:t>на оплату первоначального взноса по ипотечному кредиту (займу) с уровнем процентной ставки не более 8,5% годовых, получили жилье 15 граждан из числа ветеранов ВОВ</w:t>
      </w:r>
      <w:proofErr w:type="gramEnd"/>
      <w:r w:rsidRPr="00BE108E">
        <w:rPr>
          <w:szCs w:val="28"/>
        </w:rPr>
        <w:t>, инвалидов и семей, имеющих детей-инвалидов.</w:t>
      </w:r>
    </w:p>
    <w:p w:rsidR="00B93BB7" w:rsidRPr="00BE108E" w:rsidRDefault="00B93BB7" w:rsidP="00B93BB7">
      <w:pPr>
        <w:autoSpaceDE w:val="0"/>
        <w:autoSpaceDN w:val="0"/>
        <w:adjustRightInd w:val="0"/>
        <w:rPr>
          <w:szCs w:val="28"/>
        </w:rPr>
      </w:pPr>
      <w:proofErr w:type="gramStart"/>
      <w:r w:rsidRPr="00BE108E">
        <w:rPr>
          <w:szCs w:val="28"/>
        </w:rPr>
        <w:t>Недостижение планового значения показателя «доля многодетных семей, получивших жилые помещения и улучшивших жилищные условия в отчетном году в рамках подпрограммы, в общем числе многодетных семей, состоящих на учете в качестве нуждающихся в жилых помещениях» обусловлено заявительным принципом получения социальной выплаты (из 19 многодетных семей 3 семьи получили социальную выплату, остальные семьи с заявлением на получение выплаты не обращались).</w:t>
      </w:r>
      <w:proofErr w:type="gramEnd"/>
    </w:p>
    <w:p w:rsidR="00B93BB7" w:rsidRPr="00BE108E" w:rsidRDefault="00B93BB7" w:rsidP="00B93BB7">
      <w:pPr>
        <w:autoSpaceDE w:val="0"/>
        <w:autoSpaceDN w:val="0"/>
        <w:adjustRightInd w:val="0"/>
        <w:rPr>
          <w:szCs w:val="28"/>
        </w:rPr>
      </w:pPr>
      <w:r w:rsidRPr="00BE108E">
        <w:rPr>
          <w:szCs w:val="28"/>
        </w:rPr>
        <w:t xml:space="preserve">В рамках содействия переселению граждан, желающих выехать на новое место жительства из ЗАТО, средства федерального бюджета на переселение граждан из закрытых административно-территориальных образований перечислены из областного бюджета </w:t>
      </w:r>
      <w:proofErr w:type="gramStart"/>
      <w:r w:rsidRPr="00BE108E">
        <w:rPr>
          <w:szCs w:val="28"/>
        </w:rPr>
        <w:t>бюджетам</w:t>
      </w:r>
      <w:proofErr w:type="gramEnd"/>
      <w:r w:rsidRPr="00BE108E">
        <w:rPr>
          <w:szCs w:val="28"/>
        </w:rPr>
        <w:t xml:space="preserve"> ЗАТО в полном объеме. По четырем ЗАТО (Видяево, Североморск, Александровск, Заозерск) муниципальные контракты на переселение граждан исполнены в полном объеме. В соответствии с условиями муниципального контракта, заключенного </w:t>
      </w:r>
      <w:proofErr w:type="gramStart"/>
      <w:r w:rsidRPr="00BE108E">
        <w:rPr>
          <w:szCs w:val="28"/>
        </w:rPr>
        <w:t>между</w:t>
      </w:r>
      <w:proofErr w:type="gramEnd"/>
      <w:r w:rsidRPr="00BE108E">
        <w:rPr>
          <w:szCs w:val="28"/>
        </w:rPr>
        <w:t xml:space="preserve"> ЗАТО Островной и застройщиком, срок ввода объекта в эксплуатацию, а также срок передачи квартир гражданам, переселяемым из ЗАТО, перенесен на 2015 год.</w:t>
      </w:r>
    </w:p>
    <w:p w:rsidR="00B93BB7" w:rsidRPr="00BE108E" w:rsidRDefault="00B93BB7" w:rsidP="00B93BB7">
      <w:pPr>
        <w:autoSpaceDE w:val="0"/>
        <w:autoSpaceDN w:val="0"/>
        <w:adjustRightInd w:val="0"/>
        <w:rPr>
          <w:szCs w:val="28"/>
        </w:rPr>
      </w:pPr>
      <w:proofErr w:type="gramStart"/>
      <w:r w:rsidRPr="00A85FBF">
        <w:rPr>
          <w:szCs w:val="28"/>
        </w:rPr>
        <w:t>В рамках</w:t>
      </w:r>
      <w:r w:rsidRPr="00BE108E">
        <w:rPr>
          <w:b/>
          <w:szCs w:val="28"/>
        </w:rPr>
        <w:t xml:space="preserve"> оказания содействия проведению капитального ремонта в многоквартирных домах области </w:t>
      </w:r>
      <w:r w:rsidRPr="00BE108E">
        <w:rPr>
          <w:szCs w:val="28"/>
        </w:rPr>
        <w:t>утверждена региональная программа капитального ремонта общего имущества в многоквартирных домах (далее - МКД), расположенных на территории Мурманской области, на 2014-2043 годы, включающая все МКД Мурманской области, подлежащие капитальному ремонту, кроме МКД, признанных в установленном законодательством порядке аварийными и подлежащими сносу, а также домов, в которых отсутствует общее имущество.</w:t>
      </w:r>
      <w:proofErr w:type="gramEnd"/>
    </w:p>
    <w:p w:rsidR="00B93BB7" w:rsidRPr="00BE108E" w:rsidRDefault="00B93BB7" w:rsidP="00B93BB7">
      <w:pPr>
        <w:autoSpaceDE w:val="0"/>
        <w:autoSpaceDN w:val="0"/>
        <w:adjustRightInd w:val="0"/>
        <w:rPr>
          <w:szCs w:val="28"/>
        </w:rPr>
      </w:pPr>
      <w:r w:rsidRPr="00BE108E">
        <w:rPr>
          <w:szCs w:val="28"/>
        </w:rPr>
        <w:lastRenderedPageBreak/>
        <w:t>Для проведения инвентаризации многоквартирных домов, включенных в региональную программу, региональным оператором НКО «ФУКР МО» был проведен конкурс на выполнение работ по технической инвентаризации МКД с определением процента их износа, предоставлением технических паспортов в электронном (оцифрованном) виде и выполнением дополнительных работ по обследованию кровли, чердака, технического этажа и подвала жилого дома. По итогам конкурса заключен договор с государственным унитарным предприятием технической инвентаризации Мурманской области.</w:t>
      </w:r>
    </w:p>
    <w:p w:rsidR="00B93BB7" w:rsidRPr="00BE108E" w:rsidRDefault="00B93BB7" w:rsidP="00B93BB7">
      <w:pPr>
        <w:autoSpaceDE w:val="0"/>
        <w:autoSpaceDN w:val="0"/>
        <w:adjustRightInd w:val="0"/>
        <w:rPr>
          <w:szCs w:val="28"/>
        </w:rPr>
      </w:pPr>
      <w:r w:rsidRPr="00BE108E">
        <w:rPr>
          <w:szCs w:val="28"/>
        </w:rPr>
        <w:t xml:space="preserve">В </w:t>
      </w:r>
      <w:proofErr w:type="gramStart"/>
      <w:r w:rsidRPr="00BE108E">
        <w:rPr>
          <w:szCs w:val="28"/>
        </w:rPr>
        <w:t>рамках</w:t>
      </w:r>
      <w:proofErr w:type="gramEnd"/>
      <w:r w:rsidRPr="00BE108E">
        <w:rPr>
          <w:szCs w:val="28"/>
        </w:rPr>
        <w:t xml:space="preserve"> краткосрочного плана на 2014 год выполнен выборочный капитальный ремонт в 80 МКД общей площадью 303,8 тыс. кв.</w:t>
      </w:r>
      <w:r w:rsidR="00280567" w:rsidRPr="00BE108E">
        <w:rPr>
          <w:szCs w:val="28"/>
        </w:rPr>
        <w:t xml:space="preserve"> </w:t>
      </w:r>
      <w:r w:rsidRPr="00BE108E">
        <w:rPr>
          <w:szCs w:val="28"/>
        </w:rPr>
        <w:t xml:space="preserve">м. </w:t>
      </w:r>
    </w:p>
    <w:p w:rsidR="00B93BB7" w:rsidRPr="00BE108E" w:rsidRDefault="00B93BB7" w:rsidP="00B93BB7">
      <w:pPr>
        <w:autoSpaceDE w:val="0"/>
        <w:autoSpaceDN w:val="0"/>
        <w:adjustRightInd w:val="0"/>
        <w:rPr>
          <w:szCs w:val="28"/>
        </w:rPr>
      </w:pPr>
      <w:r w:rsidRPr="00BE108E">
        <w:rPr>
          <w:szCs w:val="28"/>
        </w:rPr>
        <w:t xml:space="preserve">В результате проведения капитального ремонта МКД улучшили условия проживания 11 389 человек, что меньше установленного планового значения (16 075 человек) по причине </w:t>
      </w:r>
      <w:proofErr w:type="gramStart"/>
      <w:r w:rsidRPr="00BE108E">
        <w:rPr>
          <w:szCs w:val="28"/>
        </w:rPr>
        <w:t>переноса сроков завершения капитального ремонта</w:t>
      </w:r>
      <w:r w:rsidR="00BF2C89" w:rsidRPr="00BE108E">
        <w:rPr>
          <w:szCs w:val="28"/>
        </w:rPr>
        <w:t xml:space="preserve"> </w:t>
      </w:r>
      <w:r w:rsidRPr="00BE108E">
        <w:rPr>
          <w:szCs w:val="28"/>
        </w:rPr>
        <w:t>отдельных многоквартирных домов</w:t>
      </w:r>
      <w:proofErr w:type="gramEnd"/>
      <w:r w:rsidRPr="00BE108E">
        <w:rPr>
          <w:szCs w:val="28"/>
        </w:rPr>
        <w:t xml:space="preserve"> на 2015 год.</w:t>
      </w:r>
    </w:p>
    <w:p w:rsidR="00B93BB7" w:rsidRPr="00BE108E" w:rsidRDefault="00B93BB7" w:rsidP="00B93BB7">
      <w:pPr>
        <w:autoSpaceDE w:val="0"/>
        <w:autoSpaceDN w:val="0"/>
        <w:adjustRightInd w:val="0"/>
        <w:rPr>
          <w:szCs w:val="28"/>
        </w:rPr>
      </w:pPr>
      <w:r w:rsidRPr="00A85FBF">
        <w:rPr>
          <w:szCs w:val="28"/>
        </w:rPr>
        <w:t xml:space="preserve">В целях </w:t>
      </w:r>
      <w:r w:rsidRPr="00BE108E">
        <w:rPr>
          <w:b/>
          <w:szCs w:val="28"/>
        </w:rPr>
        <w:t>содействия повышению уровня благоустроенности территорий региона в</w:t>
      </w:r>
      <w:r w:rsidRPr="00BE108E">
        <w:rPr>
          <w:szCs w:val="28"/>
        </w:rPr>
        <w:t xml:space="preserve"> 2014 году планировалось обустроить 8 объектов внешнего благоустройства (5 объектов – в г. Мурманске, 1 объект </w:t>
      </w:r>
      <w:proofErr w:type="gramStart"/>
      <w:r w:rsidRPr="00BE108E">
        <w:rPr>
          <w:szCs w:val="28"/>
        </w:rPr>
        <w:t>–</w:t>
      </w:r>
      <w:r w:rsidR="00280567" w:rsidRPr="00BE108E">
        <w:rPr>
          <w:szCs w:val="28"/>
        </w:rPr>
        <w:t>в</w:t>
      </w:r>
      <w:proofErr w:type="gramEnd"/>
      <w:r w:rsidRPr="00BE108E">
        <w:rPr>
          <w:szCs w:val="28"/>
        </w:rPr>
        <w:t xml:space="preserve"> г. Кола, 2 объекта в с.п. Алакуртти Кандалакшского района).</w:t>
      </w:r>
    </w:p>
    <w:p w:rsidR="00B93BB7" w:rsidRPr="00BE108E" w:rsidRDefault="00B93BB7" w:rsidP="00B93BB7">
      <w:pPr>
        <w:autoSpaceDE w:val="0"/>
        <w:autoSpaceDN w:val="0"/>
        <w:adjustRightInd w:val="0"/>
        <w:rPr>
          <w:szCs w:val="28"/>
        </w:rPr>
      </w:pPr>
      <w:r w:rsidRPr="00BE108E">
        <w:rPr>
          <w:szCs w:val="28"/>
        </w:rPr>
        <w:t xml:space="preserve">В </w:t>
      </w:r>
      <w:proofErr w:type="gramStart"/>
      <w:r w:rsidRPr="00BE108E">
        <w:rPr>
          <w:szCs w:val="28"/>
        </w:rPr>
        <w:t>Мурманске</w:t>
      </w:r>
      <w:proofErr w:type="gramEnd"/>
      <w:r w:rsidRPr="00BE108E">
        <w:rPr>
          <w:szCs w:val="28"/>
        </w:rPr>
        <w:t xml:space="preserve"> в связи с несоблюдением </w:t>
      </w:r>
      <w:r w:rsidRPr="00BE108E">
        <w:rPr>
          <w:color w:val="000000"/>
          <w:szCs w:val="28"/>
        </w:rPr>
        <w:t xml:space="preserve">сроков выполнения работ, установленных контрактами, в 2014 году было выполнено только обустройство </w:t>
      </w:r>
      <w:r w:rsidRPr="00BE108E">
        <w:rPr>
          <w:szCs w:val="28"/>
        </w:rPr>
        <w:t xml:space="preserve">парковой и детской игровой зон </w:t>
      </w:r>
      <w:r w:rsidRPr="00BE108E">
        <w:rPr>
          <w:color w:val="000000"/>
          <w:szCs w:val="28"/>
        </w:rPr>
        <w:t xml:space="preserve">в районе школы № 1 по ул. Буркова. </w:t>
      </w:r>
      <w:proofErr w:type="gramStart"/>
      <w:r w:rsidRPr="00BE108E">
        <w:rPr>
          <w:color w:val="000000"/>
          <w:szCs w:val="28"/>
        </w:rPr>
        <w:t>Окончание работ в скверах по ул. Ленинградской, на площади «Пять углов», на бульваре по ул. Пушкинской перенесено на 2015 год.</w:t>
      </w:r>
      <w:proofErr w:type="gramEnd"/>
    </w:p>
    <w:p w:rsidR="00B93BB7" w:rsidRPr="00BE108E" w:rsidRDefault="00B93BB7" w:rsidP="00B93BB7">
      <w:pPr>
        <w:rPr>
          <w:szCs w:val="28"/>
        </w:rPr>
      </w:pPr>
      <w:r w:rsidRPr="00BE108E">
        <w:rPr>
          <w:szCs w:val="28"/>
        </w:rPr>
        <w:t>Разработана проектная документация по обустройству городского</w:t>
      </w:r>
      <w:r w:rsidR="00BF2C89" w:rsidRPr="00BE108E">
        <w:rPr>
          <w:szCs w:val="28"/>
        </w:rPr>
        <w:t xml:space="preserve"> </w:t>
      </w:r>
      <w:r w:rsidRPr="00BE108E">
        <w:rPr>
          <w:szCs w:val="28"/>
        </w:rPr>
        <w:t>центрального парка, расположенного в районе дома №5 по ул. Андрусенко в г. Кола, однако сезонный характер работ и позднее проведение торгов не позволили приступить к выполнению работ по ремонту в 2014 году (окончание работ по обустройству парка запланировано на 2015 года).</w:t>
      </w:r>
    </w:p>
    <w:p w:rsidR="00B93BB7" w:rsidRPr="00BE108E" w:rsidRDefault="00B93BB7" w:rsidP="00B93BB7">
      <w:pPr>
        <w:autoSpaceDE w:val="0"/>
        <w:autoSpaceDN w:val="0"/>
        <w:adjustRightInd w:val="0"/>
        <w:rPr>
          <w:strike/>
          <w:color w:val="000000"/>
          <w:szCs w:val="28"/>
        </w:rPr>
      </w:pPr>
      <w:r w:rsidRPr="00BE108E">
        <w:rPr>
          <w:color w:val="000000"/>
          <w:szCs w:val="28"/>
        </w:rPr>
        <w:t xml:space="preserve">Работы по объекту «Благоустройство территории в районе мемориала сельского поселения Алакуртти» выполнены в полном объеме, подписан акт о приемке выполненных работ. </w:t>
      </w:r>
    </w:p>
    <w:p w:rsidR="00B93BB7" w:rsidRPr="00BE108E" w:rsidRDefault="00B93BB7" w:rsidP="00B93BB7">
      <w:pPr>
        <w:autoSpaceDE w:val="0"/>
        <w:autoSpaceDN w:val="0"/>
        <w:adjustRightInd w:val="0"/>
        <w:rPr>
          <w:color w:val="000000"/>
          <w:szCs w:val="28"/>
        </w:rPr>
      </w:pPr>
      <w:r w:rsidRPr="00BE108E">
        <w:rPr>
          <w:color w:val="000000"/>
          <w:szCs w:val="28"/>
        </w:rPr>
        <w:t>В связи с несостоявшимися торгами по благоустройству территории парков и скверов в районе улиц Содружества, Кузнецова, Набережная с.п. Алакуртти не удалось достигнуть планового значения показателя по количеству обустраиваемых объектов внешнего благоустройства.</w:t>
      </w:r>
      <w:r w:rsidRPr="00BE108E">
        <w:rPr>
          <w:color w:val="FF0000"/>
          <w:szCs w:val="28"/>
        </w:rPr>
        <w:t xml:space="preserve"> </w:t>
      </w:r>
    </w:p>
    <w:p w:rsidR="00B93BB7" w:rsidRPr="00BE108E" w:rsidRDefault="00B93BB7" w:rsidP="00B93BB7">
      <w:pPr>
        <w:autoSpaceDE w:val="0"/>
        <w:autoSpaceDN w:val="0"/>
        <w:adjustRightInd w:val="0"/>
        <w:rPr>
          <w:color w:val="000000"/>
          <w:szCs w:val="28"/>
        </w:rPr>
      </w:pPr>
      <w:r w:rsidRPr="00BE108E">
        <w:rPr>
          <w:color w:val="000000"/>
          <w:szCs w:val="28"/>
        </w:rPr>
        <w:t>По объекту «Расширение городского кладбища на 7-</w:t>
      </w:r>
      <w:smartTag w:uri="urn:schemas-microsoft-com:office:smarttags" w:element="metricconverter">
        <w:smartTagPr>
          <w:attr w:name="ProductID" w:val="8 км"/>
        </w:smartTagPr>
        <w:r w:rsidRPr="00BE108E">
          <w:rPr>
            <w:color w:val="000000"/>
            <w:szCs w:val="28"/>
          </w:rPr>
          <w:t>8 км</w:t>
        </w:r>
      </w:smartTag>
      <w:r w:rsidRPr="00BE108E">
        <w:rPr>
          <w:color w:val="000000"/>
          <w:szCs w:val="28"/>
        </w:rPr>
        <w:t xml:space="preserve"> автодороги </w:t>
      </w:r>
      <w:proofErr w:type="gramStart"/>
      <w:r w:rsidRPr="00BE108E">
        <w:rPr>
          <w:color w:val="000000"/>
          <w:szCs w:val="28"/>
        </w:rPr>
        <w:t>Кола-Мурмаши</w:t>
      </w:r>
      <w:proofErr w:type="gramEnd"/>
      <w:r w:rsidRPr="00BE108E">
        <w:rPr>
          <w:color w:val="000000"/>
          <w:szCs w:val="28"/>
        </w:rPr>
        <w:t>, участок у «Сангородок у Кедра</w:t>
      </w:r>
      <w:r w:rsidR="00280567" w:rsidRPr="00BE108E">
        <w:rPr>
          <w:color w:val="000000"/>
          <w:szCs w:val="28"/>
        </w:rPr>
        <w:t>»</w:t>
      </w:r>
      <w:r w:rsidRPr="00BE108E">
        <w:rPr>
          <w:color w:val="000000"/>
          <w:szCs w:val="28"/>
        </w:rPr>
        <w:t>» работы выполняются за счет средств муниципального бюджета, техническая готовность составляет 84</w:t>
      </w:r>
      <w:r w:rsidR="00BF2C89" w:rsidRPr="00BE108E">
        <w:rPr>
          <w:color w:val="000000"/>
          <w:szCs w:val="28"/>
        </w:rPr>
        <w:t>%</w:t>
      </w:r>
      <w:r w:rsidRPr="00BE108E">
        <w:rPr>
          <w:color w:val="000000"/>
          <w:szCs w:val="28"/>
        </w:rPr>
        <w:t>.</w:t>
      </w:r>
    </w:p>
    <w:p w:rsidR="00B93BB7" w:rsidRPr="00BE108E" w:rsidRDefault="00B93BB7" w:rsidP="00B93BB7">
      <w:pPr>
        <w:autoSpaceDE w:val="0"/>
        <w:autoSpaceDN w:val="0"/>
        <w:adjustRightInd w:val="0"/>
        <w:rPr>
          <w:strike/>
          <w:color w:val="FF0000"/>
          <w:szCs w:val="28"/>
        </w:rPr>
      </w:pPr>
      <w:r w:rsidRPr="00BE108E">
        <w:rPr>
          <w:color w:val="000000"/>
          <w:szCs w:val="28"/>
        </w:rPr>
        <w:t>В соответствии с Планом мероприятий, связанным с осуществлением городом Мурманском функций административного центра области, за счет средств субсидии из областного бюджета и средств</w:t>
      </w:r>
      <w:r w:rsidR="00BF2C89" w:rsidRPr="00BE108E">
        <w:rPr>
          <w:color w:val="000000"/>
          <w:szCs w:val="28"/>
        </w:rPr>
        <w:t xml:space="preserve"> </w:t>
      </w:r>
      <w:r w:rsidRPr="00BE108E">
        <w:rPr>
          <w:color w:val="000000"/>
          <w:szCs w:val="28"/>
        </w:rPr>
        <w:t>бюджета муниципального образования осуществлены работы по благоустройству объектов внешнего благоустройства,</w:t>
      </w:r>
      <w:r w:rsidR="00BF2C89" w:rsidRPr="00BE108E">
        <w:rPr>
          <w:color w:val="000000"/>
          <w:szCs w:val="28"/>
        </w:rPr>
        <w:t xml:space="preserve"> </w:t>
      </w:r>
      <w:r w:rsidRPr="00BE108E">
        <w:rPr>
          <w:color w:val="000000"/>
          <w:szCs w:val="28"/>
        </w:rPr>
        <w:t>капитальному ремонту и ремонту объектов наружного освещения, строительству, капитальному ремонту и ремонту</w:t>
      </w:r>
      <w:r w:rsidR="00BF2C89" w:rsidRPr="00BE108E">
        <w:rPr>
          <w:color w:val="000000"/>
          <w:szCs w:val="28"/>
        </w:rPr>
        <w:t xml:space="preserve"> </w:t>
      </w:r>
      <w:r w:rsidRPr="00BE108E">
        <w:rPr>
          <w:color w:val="000000"/>
          <w:szCs w:val="28"/>
        </w:rPr>
        <w:t xml:space="preserve">автомобильных дорог общего пользования местного значения. </w:t>
      </w:r>
    </w:p>
    <w:p w:rsidR="00B93BB7" w:rsidRPr="00BE108E" w:rsidRDefault="00B93BB7" w:rsidP="00B93BB7">
      <w:pPr>
        <w:autoSpaceDE w:val="0"/>
        <w:autoSpaceDN w:val="0"/>
        <w:adjustRightInd w:val="0"/>
        <w:rPr>
          <w:color w:val="000000"/>
          <w:szCs w:val="28"/>
        </w:rPr>
      </w:pPr>
      <w:r w:rsidRPr="00BE108E">
        <w:rPr>
          <w:color w:val="000000"/>
          <w:szCs w:val="28"/>
        </w:rPr>
        <w:lastRenderedPageBreak/>
        <w:t xml:space="preserve">По результатам выполнения программных мероприятий наблюдается незначительное увеличение уровня благоустроенности городских (сельских) поселений, населенных пунктов (средний по региону) в соответствии с региональными нормативами градостроительного проектирования Мурманской области по сравнению с 2013 годом (51% против 50%). В связи с отсутствием </w:t>
      </w:r>
      <w:r w:rsidRPr="00BE108E">
        <w:rPr>
          <w:szCs w:val="28"/>
        </w:rPr>
        <w:t xml:space="preserve">достаточного </w:t>
      </w:r>
      <w:r w:rsidRPr="00BE108E">
        <w:rPr>
          <w:color w:val="000000"/>
          <w:szCs w:val="28"/>
        </w:rPr>
        <w:t>финансирования за счет средств областного и муниципального бюджетов не удалось достигнуть ранее установленного планового значения показателя (57%).</w:t>
      </w:r>
      <w:r w:rsidR="00BF2C89" w:rsidRPr="00BE108E">
        <w:rPr>
          <w:color w:val="000000"/>
          <w:szCs w:val="28"/>
        </w:rPr>
        <w:t xml:space="preserve"> </w:t>
      </w:r>
    </w:p>
    <w:p w:rsidR="00B93BB7" w:rsidRPr="00BE108E" w:rsidRDefault="00B93BB7" w:rsidP="00B93BB7">
      <w:pPr>
        <w:autoSpaceDE w:val="0"/>
        <w:autoSpaceDN w:val="0"/>
        <w:adjustRightInd w:val="0"/>
        <w:rPr>
          <w:color w:val="000000"/>
          <w:szCs w:val="28"/>
        </w:rPr>
      </w:pPr>
      <w:r w:rsidRPr="00BE108E">
        <w:rPr>
          <w:color w:val="000000"/>
          <w:szCs w:val="28"/>
        </w:rPr>
        <w:t>Всего на 2014 год по государственной программе были предусмотрены к выполнению 42 показателя целей и задач, из них низкая степень достижения отмечается по четырем, средняя – по 10, высокая – по 26 показателям, 2 показателя существенно перевыполнены. Средняя степень достижения показателей государственной программы – 97,8</w:t>
      </w:r>
      <w:r w:rsidR="00BF2C89" w:rsidRPr="00BE108E">
        <w:rPr>
          <w:color w:val="000000"/>
          <w:szCs w:val="28"/>
        </w:rPr>
        <w:t>%</w:t>
      </w:r>
      <w:r w:rsidRPr="00BE108E">
        <w:rPr>
          <w:color w:val="000000"/>
          <w:szCs w:val="28"/>
        </w:rPr>
        <w:t>.</w:t>
      </w:r>
    </w:p>
    <w:p w:rsidR="00B93BB7" w:rsidRPr="00BE108E" w:rsidRDefault="00B93BB7" w:rsidP="00B93BB7">
      <w:pPr>
        <w:autoSpaceDE w:val="0"/>
        <w:autoSpaceDN w:val="0"/>
        <w:adjustRightInd w:val="0"/>
        <w:rPr>
          <w:szCs w:val="28"/>
        </w:rPr>
      </w:pPr>
      <w:r w:rsidRPr="00BE108E">
        <w:rPr>
          <w:color w:val="000000"/>
          <w:szCs w:val="28"/>
        </w:rPr>
        <w:t xml:space="preserve">В результате реализации мероприятий программы отмечается сохранение объемов вводимого жилья на уровне 2013 года (25,1 тыс. кв. м., </w:t>
      </w:r>
      <w:r w:rsidRPr="00BE108E">
        <w:rPr>
          <w:szCs w:val="28"/>
        </w:rPr>
        <w:t>101% от плана),</w:t>
      </w:r>
      <w:r w:rsidRPr="00BE108E">
        <w:rPr>
          <w:color w:val="000000"/>
          <w:szCs w:val="28"/>
        </w:rPr>
        <w:t xml:space="preserve"> общая площадь жилых помещений, приходящаяся в среднем на 1 жителя Мурманской области, по оценочным данным увеличилась незначительно и составила 24,7 кв.</w:t>
      </w:r>
      <w:r w:rsidR="00280567" w:rsidRPr="00BE108E">
        <w:rPr>
          <w:color w:val="000000"/>
          <w:szCs w:val="28"/>
        </w:rPr>
        <w:t xml:space="preserve"> </w:t>
      </w:r>
      <w:r w:rsidRPr="00BE108E">
        <w:rPr>
          <w:color w:val="000000"/>
          <w:szCs w:val="28"/>
        </w:rPr>
        <w:t xml:space="preserve">м против 24,5 в 2013 году. По сравнению с 2013 годом наблюдается увеличение расчетного срока, </w:t>
      </w:r>
      <w:r w:rsidRPr="00BE108E">
        <w:rPr>
          <w:szCs w:val="28"/>
        </w:rPr>
        <w:t>необходимого семье, состоящей из 3 человек, для приобретения стандартной квартиры общей площадью 54 кв. м с учетом среднего совокупного дохода семьи (2,3 года в 2014 году против 2 лет в 2013 году), что обусловлено опережающими темпами роста в 2014 году стоимости 1 кв.</w:t>
      </w:r>
      <w:r w:rsidR="00280567" w:rsidRPr="00BE108E">
        <w:rPr>
          <w:szCs w:val="28"/>
        </w:rPr>
        <w:t xml:space="preserve"> </w:t>
      </w:r>
      <w:r w:rsidRPr="00BE108E">
        <w:rPr>
          <w:szCs w:val="28"/>
        </w:rPr>
        <w:t>м общей площади жилых помещений на первичном и вторичном рынке жилья по сравнению с ростом среднедушевых доходов граждан.</w:t>
      </w:r>
    </w:p>
    <w:p w:rsidR="00B93BB7" w:rsidRPr="00BE108E" w:rsidRDefault="00B93BB7" w:rsidP="00B93BB7">
      <w:pPr>
        <w:autoSpaceDE w:val="0"/>
        <w:autoSpaceDN w:val="0"/>
        <w:adjustRightInd w:val="0"/>
        <w:rPr>
          <w:szCs w:val="28"/>
        </w:rPr>
      </w:pPr>
      <w:r w:rsidRPr="00BE108E">
        <w:rPr>
          <w:szCs w:val="28"/>
        </w:rPr>
        <w:t>Интегральный показатель эффективности реализации государственной программы, рассчитанный на основании пяти установленных критериев, составил 95,3</w:t>
      </w:r>
      <w:r w:rsidR="00BF2C89" w:rsidRPr="00BE108E">
        <w:rPr>
          <w:szCs w:val="28"/>
        </w:rPr>
        <w:t>%</w:t>
      </w:r>
      <w:r w:rsidRPr="00BE108E">
        <w:rPr>
          <w:szCs w:val="28"/>
        </w:rPr>
        <w:t xml:space="preserve">, что в соответствии с утвержденной методикой оценки эффективности свидетельствует о высоком уровне эффективности реализации государственной программы. </w:t>
      </w:r>
    </w:p>
    <w:p w:rsidR="00280567" w:rsidRPr="00167178" w:rsidRDefault="00280567" w:rsidP="004F1ACD">
      <w:pPr>
        <w:rPr>
          <w:szCs w:val="28"/>
        </w:rPr>
      </w:pPr>
    </w:p>
    <w:p w:rsidR="00167178" w:rsidRDefault="00167178">
      <w:pPr>
        <w:spacing w:after="200" w:line="276" w:lineRule="auto"/>
        <w:ind w:firstLine="0"/>
        <w:jc w:val="left"/>
        <w:rPr>
          <w:rFonts w:eastAsiaTheme="majorEastAsia" w:cstheme="majorBidi"/>
          <w:b/>
          <w:bCs/>
          <w:szCs w:val="28"/>
        </w:rPr>
      </w:pPr>
      <w:r>
        <w:br w:type="page"/>
      </w:r>
    </w:p>
    <w:p w:rsidR="00B93BB7" w:rsidRPr="00167178" w:rsidRDefault="00B93BB7" w:rsidP="00B93BB7">
      <w:pPr>
        <w:pStyle w:val="1"/>
      </w:pPr>
      <w:r w:rsidRPr="00167178">
        <w:lastRenderedPageBreak/>
        <w:t>Государственная программа 8 «Энергоэффективность и развитие энергетики»</w:t>
      </w:r>
    </w:p>
    <w:p w:rsidR="00AE272B" w:rsidRPr="00167178" w:rsidRDefault="00AE272B" w:rsidP="00AE272B">
      <w:pPr>
        <w:rPr>
          <w:szCs w:val="28"/>
        </w:rPr>
      </w:pPr>
    </w:p>
    <w:p w:rsidR="00D064E3" w:rsidRPr="00BE108E" w:rsidRDefault="00D064E3" w:rsidP="00D064E3">
      <w:pPr>
        <w:pStyle w:val="ConsPlusCell"/>
        <w:jc w:val="both"/>
        <w:rPr>
          <w:rStyle w:val="FontStyle14"/>
          <w:sz w:val="28"/>
          <w:szCs w:val="28"/>
        </w:rPr>
      </w:pPr>
      <w:r w:rsidRPr="00BE108E">
        <w:rPr>
          <w:noProof/>
        </w:rPr>
        <w:drawing>
          <wp:inline distT="0" distB="0" distL="0" distR="0">
            <wp:extent cx="2541182" cy="2987749"/>
            <wp:effectExtent l="0" t="0" r="12065" b="2222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rStyle w:val="FontStyle14"/>
          <w:sz w:val="28"/>
          <w:szCs w:val="28"/>
        </w:rPr>
        <w:t xml:space="preserve"> </w:t>
      </w:r>
      <w:r w:rsidRPr="00BE108E">
        <w:rPr>
          <w:noProof/>
        </w:rPr>
        <w:drawing>
          <wp:inline distT="0" distB="0" distL="0" distR="0">
            <wp:extent cx="3434316" cy="2987749"/>
            <wp:effectExtent l="0" t="0" r="13970" b="2222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C13F31" w:rsidRDefault="00C13F31" w:rsidP="00C13F31">
      <w:pPr>
        <w:ind w:firstLine="0"/>
        <w:jc w:val="center"/>
        <w:rPr>
          <w:sz w:val="24"/>
        </w:rPr>
      </w:pPr>
      <w:r w:rsidRPr="00C13F31">
        <w:rPr>
          <w:sz w:val="24"/>
        </w:rPr>
        <w:t xml:space="preserve">Рисунок </w:t>
      </w:r>
      <w:r w:rsidR="00167178">
        <w:rPr>
          <w:sz w:val="24"/>
        </w:rPr>
        <w:t>12</w:t>
      </w:r>
    </w:p>
    <w:p w:rsidR="00B93BB7" w:rsidRPr="00AE272B" w:rsidRDefault="00B93BB7" w:rsidP="00B93BB7">
      <w:pPr>
        <w:pStyle w:val="Default"/>
        <w:ind w:firstLine="851"/>
        <w:jc w:val="both"/>
        <w:rPr>
          <w:color w:val="auto"/>
          <w:sz w:val="22"/>
          <w:szCs w:val="28"/>
        </w:rPr>
      </w:pPr>
    </w:p>
    <w:p w:rsidR="00B93BB7" w:rsidRPr="00BE108E" w:rsidRDefault="00B93BB7" w:rsidP="00B93BB7">
      <w:pPr>
        <w:pStyle w:val="Default"/>
        <w:ind w:firstLine="709"/>
        <w:jc w:val="both"/>
        <w:rPr>
          <w:color w:val="auto"/>
          <w:sz w:val="28"/>
          <w:szCs w:val="28"/>
        </w:rPr>
      </w:pPr>
      <w:r w:rsidRPr="00BE108E">
        <w:rPr>
          <w:color w:val="auto"/>
          <w:sz w:val="28"/>
          <w:szCs w:val="28"/>
        </w:rPr>
        <w:t>Общий объем финансирования, запланированный на реализацию государственной программы, составил 7</w:t>
      </w:r>
      <w:r w:rsidR="00681450" w:rsidRPr="00BE108E">
        <w:rPr>
          <w:color w:val="auto"/>
          <w:sz w:val="28"/>
          <w:szCs w:val="28"/>
        </w:rPr>
        <w:t> </w:t>
      </w:r>
      <w:r w:rsidRPr="00BE108E">
        <w:rPr>
          <w:color w:val="auto"/>
          <w:sz w:val="28"/>
          <w:szCs w:val="28"/>
        </w:rPr>
        <w:t xml:space="preserve">412,4 млн. рублей. </w:t>
      </w:r>
    </w:p>
    <w:p w:rsidR="00B93BB7" w:rsidRPr="00BE108E" w:rsidRDefault="00B93BB7" w:rsidP="00B93BB7">
      <w:pPr>
        <w:pStyle w:val="Default"/>
        <w:ind w:firstLine="709"/>
        <w:jc w:val="both"/>
        <w:rPr>
          <w:color w:val="auto"/>
          <w:sz w:val="28"/>
          <w:szCs w:val="28"/>
        </w:rPr>
      </w:pPr>
      <w:r w:rsidRPr="00BE108E">
        <w:rPr>
          <w:sz w:val="28"/>
          <w:szCs w:val="28"/>
        </w:rPr>
        <w:t>Общая сумма расходов за 2014 год составила 7</w:t>
      </w:r>
      <w:r w:rsidR="00681450" w:rsidRPr="00BE108E">
        <w:rPr>
          <w:sz w:val="28"/>
          <w:szCs w:val="28"/>
        </w:rPr>
        <w:t> </w:t>
      </w:r>
      <w:r w:rsidRPr="00BE108E">
        <w:rPr>
          <w:sz w:val="28"/>
          <w:szCs w:val="28"/>
        </w:rPr>
        <w:t>722,6 млн. рублей</w:t>
      </w:r>
      <w:r w:rsidRPr="00BE108E">
        <w:rPr>
          <w:color w:val="auto"/>
          <w:sz w:val="28"/>
          <w:szCs w:val="28"/>
        </w:rPr>
        <w:t xml:space="preserve"> (степень освоения </w:t>
      </w:r>
      <w:r w:rsidR="00681450" w:rsidRPr="00BE108E">
        <w:rPr>
          <w:color w:val="auto"/>
          <w:sz w:val="28"/>
          <w:szCs w:val="28"/>
        </w:rPr>
        <w:t>–</w:t>
      </w:r>
      <w:r w:rsidRPr="00BE108E">
        <w:rPr>
          <w:color w:val="auto"/>
          <w:sz w:val="28"/>
          <w:szCs w:val="28"/>
        </w:rPr>
        <w:t xml:space="preserve"> 104,2</w:t>
      </w:r>
      <w:r w:rsidR="00BF2C89" w:rsidRPr="00BE108E">
        <w:rPr>
          <w:color w:val="auto"/>
          <w:sz w:val="28"/>
          <w:szCs w:val="28"/>
        </w:rPr>
        <w:t>%</w:t>
      </w:r>
      <w:r w:rsidRPr="00BE108E">
        <w:rPr>
          <w:color w:val="auto"/>
          <w:sz w:val="28"/>
          <w:szCs w:val="28"/>
        </w:rPr>
        <w:t xml:space="preserve"> от предусмотренного объема, достигнутая за счет привлечения внебюджетных средств), в том числе за счет средств областного бюджета – 3 450,1 млн. рублей (99,3</w:t>
      </w:r>
      <w:r w:rsidR="00BF2C89" w:rsidRPr="00BE108E">
        <w:rPr>
          <w:color w:val="auto"/>
          <w:sz w:val="28"/>
          <w:szCs w:val="28"/>
        </w:rPr>
        <w:t>%</w:t>
      </w:r>
      <w:r w:rsidRPr="00BE108E">
        <w:rPr>
          <w:color w:val="auto"/>
          <w:sz w:val="28"/>
          <w:szCs w:val="28"/>
        </w:rPr>
        <w:t>), федерального бюджета – 208,8 млн. рублей (99,7</w:t>
      </w:r>
      <w:r w:rsidR="00BF2C89" w:rsidRPr="00BE108E">
        <w:rPr>
          <w:color w:val="auto"/>
          <w:sz w:val="28"/>
          <w:szCs w:val="28"/>
        </w:rPr>
        <w:t>%</w:t>
      </w:r>
      <w:r w:rsidRPr="00BE108E">
        <w:rPr>
          <w:color w:val="auto"/>
          <w:sz w:val="28"/>
          <w:szCs w:val="28"/>
        </w:rPr>
        <w:t>), местных бюджетов – 14 млн. рублей (55,3</w:t>
      </w:r>
      <w:r w:rsidR="00BF2C89" w:rsidRPr="00BE108E">
        <w:rPr>
          <w:color w:val="auto"/>
          <w:sz w:val="28"/>
          <w:szCs w:val="28"/>
        </w:rPr>
        <w:t>%</w:t>
      </w:r>
      <w:r w:rsidRPr="00BE108E">
        <w:rPr>
          <w:color w:val="auto"/>
          <w:sz w:val="28"/>
          <w:szCs w:val="28"/>
        </w:rPr>
        <w:t>) и средств внебюджетных источников – 4 049,6 млн. рублей (109,3</w:t>
      </w:r>
      <w:r w:rsidR="00BF2C89" w:rsidRPr="00BE108E">
        <w:rPr>
          <w:color w:val="auto"/>
          <w:sz w:val="28"/>
          <w:szCs w:val="28"/>
        </w:rPr>
        <w:t>%</w:t>
      </w:r>
      <w:r w:rsidRPr="00BE108E">
        <w:rPr>
          <w:color w:val="auto"/>
          <w:sz w:val="28"/>
          <w:szCs w:val="28"/>
        </w:rPr>
        <w:t>).</w:t>
      </w:r>
      <w:r w:rsidRPr="00BE108E">
        <w:rPr>
          <w:color w:val="FF0000"/>
          <w:sz w:val="28"/>
          <w:szCs w:val="28"/>
        </w:rPr>
        <w:t xml:space="preserve"> </w:t>
      </w:r>
      <w:r w:rsidRPr="00BE108E">
        <w:rPr>
          <w:color w:val="auto"/>
          <w:sz w:val="28"/>
          <w:szCs w:val="28"/>
        </w:rPr>
        <w:t>Низкая степень освоения средств местных бюджетов связана с отставанием от графика выполнения работ на объектах капитального строительства.</w:t>
      </w:r>
    </w:p>
    <w:p w:rsidR="00B93BB7" w:rsidRPr="00BE108E" w:rsidRDefault="00B93BB7" w:rsidP="00B93BB7">
      <w:pPr>
        <w:pStyle w:val="Default"/>
        <w:ind w:firstLine="709"/>
        <w:jc w:val="both"/>
        <w:rPr>
          <w:color w:val="auto"/>
          <w:sz w:val="28"/>
          <w:szCs w:val="28"/>
        </w:rPr>
      </w:pPr>
      <w:r w:rsidRPr="00BE108E">
        <w:rPr>
          <w:color w:val="auto"/>
          <w:sz w:val="28"/>
          <w:szCs w:val="28"/>
        </w:rPr>
        <w:t xml:space="preserve">С целью </w:t>
      </w:r>
      <w:r w:rsidRPr="00BE108E">
        <w:rPr>
          <w:b/>
          <w:color w:val="auto"/>
          <w:sz w:val="28"/>
          <w:szCs w:val="28"/>
        </w:rPr>
        <w:t>повышения энергетической эффективности при производстве, передаче и потреблении энергетических ресурсов и снижения их потребления</w:t>
      </w:r>
      <w:r w:rsidRPr="00BE108E">
        <w:rPr>
          <w:color w:val="auto"/>
          <w:sz w:val="28"/>
          <w:szCs w:val="28"/>
        </w:rPr>
        <w:t xml:space="preserve"> на территории Мурманской области были</w:t>
      </w:r>
      <w:r w:rsidR="00BF2C89" w:rsidRPr="00BE108E">
        <w:rPr>
          <w:color w:val="auto"/>
          <w:sz w:val="28"/>
          <w:szCs w:val="28"/>
        </w:rPr>
        <w:t xml:space="preserve"> </w:t>
      </w:r>
      <w:r w:rsidRPr="00BE108E">
        <w:rPr>
          <w:color w:val="auto"/>
          <w:sz w:val="28"/>
          <w:szCs w:val="28"/>
        </w:rPr>
        <w:t>выделены гранты (субсидии) 8 муниципальным образованиям и 3 учреждениям областной собственности на реализацию энергоэффективных мероприятий (проектов), обследовано 900 многоквартирных домов, создано и введено в эксплуатацию 2 модуля информационного обмена между информационными системами учета ресурсоснабжающих организаций (ГОУП «Мурманскводоканал» и ОАО «МЭС»), обеспечивающих передачу данных.</w:t>
      </w:r>
    </w:p>
    <w:p w:rsidR="00B93BB7" w:rsidRPr="00BE108E" w:rsidRDefault="00B93BB7" w:rsidP="00B93BB7">
      <w:pPr>
        <w:pStyle w:val="Default"/>
        <w:ind w:firstLine="709"/>
        <w:jc w:val="both"/>
        <w:rPr>
          <w:color w:val="FF0000"/>
          <w:sz w:val="28"/>
          <w:szCs w:val="28"/>
        </w:rPr>
      </w:pPr>
      <w:r w:rsidRPr="00BE108E">
        <w:rPr>
          <w:color w:val="auto"/>
          <w:sz w:val="28"/>
          <w:szCs w:val="28"/>
        </w:rPr>
        <w:t>Проведено обязательное энергетическое обследование в отношении 1025 юридических лиц. Указанное обследование выявило потенциал энергосбережения юридических лиц, что позволило им сформировать свои энергосберегающие программы, направленные на снижение потребления энергоресурсов.</w:t>
      </w:r>
      <w:r w:rsidR="00BF2C89" w:rsidRPr="00BE108E">
        <w:rPr>
          <w:color w:val="FF0000"/>
          <w:sz w:val="28"/>
          <w:szCs w:val="28"/>
        </w:rPr>
        <w:t xml:space="preserve"> </w:t>
      </w:r>
    </w:p>
    <w:p w:rsidR="00B93BB7" w:rsidRPr="00BE108E" w:rsidRDefault="00B93BB7" w:rsidP="00B93BB7">
      <w:pPr>
        <w:pStyle w:val="Default"/>
        <w:ind w:firstLine="709"/>
        <w:jc w:val="both"/>
        <w:rPr>
          <w:color w:val="auto"/>
          <w:sz w:val="28"/>
          <w:szCs w:val="28"/>
        </w:rPr>
      </w:pPr>
      <w:r w:rsidRPr="00BE108E">
        <w:rPr>
          <w:color w:val="auto"/>
          <w:sz w:val="28"/>
          <w:szCs w:val="28"/>
        </w:rPr>
        <w:lastRenderedPageBreak/>
        <w:t>В 33 муниципальных образованиях Мурманской области приняты программы в области энергосбережения и повышения энергоэффективности, что дает право муниципальным образованиям привлекать средства на их софинансирование</w:t>
      </w:r>
      <w:r w:rsidR="00BF2C89" w:rsidRPr="00BE108E">
        <w:rPr>
          <w:color w:val="auto"/>
          <w:sz w:val="28"/>
          <w:szCs w:val="28"/>
        </w:rPr>
        <w:t xml:space="preserve"> </w:t>
      </w:r>
      <w:r w:rsidRPr="00BE108E">
        <w:rPr>
          <w:color w:val="auto"/>
          <w:sz w:val="28"/>
          <w:szCs w:val="28"/>
        </w:rPr>
        <w:t>за счет субсидии, распределяемой в рамках государственной программы.</w:t>
      </w:r>
      <w:r w:rsidR="00BF2C89" w:rsidRPr="00BE108E">
        <w:rPr>
          <w:color w:val="auto"/>
          <w:sz w:val="28"/>
          <w:szCs w:val="28"/>
        </w:rPr>
        <w:t xml:space="preserve"> </w:t>
      </w:r>
    </w:p>
    <w:p w:rsidR="00B93BB7" w:rsidRPr="00BE108E" w:rsidRDefault="00B93BB7" w:rsidP="00B93BB7">
      <w:pPr>
        <w:pStyle w:val="Default"/>
        <w:ind w:firstLine="709"/>
        <w:jc w:val="both"/>
        <w:rPr>
          <w:color w:val="auto"/>
          <w:sz w:val="28"/>
          <w:szCs w:val="28"/>
        </w:rPr>
      </w:pPr>
      <w:r w:rsidRPr="00BE108E">
        <w:rPr>
          <w:color w:val="auto"/>
          <w:sz w:val="28"/>
          <w:szCs w:val="28"/>
        </w:rPr>
        <w:t>За 2014 год 1 248 многоквартирных домов оснащены общедомовыми приборами учета коммунальных ресурсов, что будет способствовать снижению потребления энергетических ресурсов и сокращению размеров оплаты за жилищно-коммунальные услуги.</w:t>
      </w:r>
    </w:p>
    <w:p w:rsidR="00B93BB7" w:rsidRPr="00BE108E" w:rsidRDefault="00B93BB7" w:rsidP="00B93BB7">
      <w:pPr>
        <w:pStyle w:val="Default"/>
        <w:ind w:firstLine="709"/>
        <w:jc w:val="both"/>
        <w:rPr>
          <w:color w:val="auto"/>
          <w:sz w:val="28"/>
          <w:szCs w:val="28"/>
        </w:rPr>
      </w:pPr>
      <w:r w:rsidRPr="00BE108E">
        <w:rPr>
          <w:color w:val="auto"/>
          <w:sz w:val="28"/>
          <w:szCs w:val="28"/>
        </w:rPr>
        <w:t>Обучение в области энергосбережения и повышения энергетической эффективности прошли 2 289 человек, организовано 90 мероприятий по пропаганде энергосбережения через средства массовой информации.</w:t>
      </w:r>
    </w:p>
    <w:p w:rsidR="00B93BB7" w:rsidRPr="00BE108E" w:rsidRDefault="00B93BB7" w:rsidP="00B93BB7">
      <w:pPr>
        <w:tabs>
          <w:tab w:val="left" w:pos="1134"/>
        </w:tabs>
        <w:rPr>
          <w:szCs w:val="28"/>
        </w:rPr>
      </w:pPr>
      <w:r w:rsidRPr="00BE108E">
        <w:rPr>
          <w:szCs w:val="28"/>
        </w:rPr>
        <w:t xml:space="preserve">В соответствии с поручением Президента Российской Федерации Правительством Мурманской области совместно с Минэнерго России было принято решение о разработке в 2014-2015 годах комплексного инвестиционного проекта модернизации системы теплоснабжения Мурманской области (далее – проект модернизации). В 2014 году заключен государственный контракт на выполнение работ по разработке проекта модернизации на 2015-2030 годы с подведомственным Минэнерго России учреждением (ФГБУ «РЭА»). </w:t>
      </w:r>
    </w:p>
    <w:p w:rsidR="00B93BB7" w:rsidRPr="00BE108E" w:rsidRDefault="00B93BB7" w:rsidP="00B93BB7">
      <w:pPr>
        <w:tabs>
          <w:tab w:val="left" w:pos="1134"/>
        </w:tabs>
        <w:rPr>
          <w:szCs w:val="28"/>
        </w:rPr>
      </w:pPr>
      <w:r w:rsidRPr="00BE108E">
        <w:rPr>
          <w:szCs w:val="28"/>
        </w:rPr>
        <w:t>Результаты данной работы будут являться основой для</w:t>
      </w:r>
      <w:r w:rsidR="00BF2C89" w:rsidRPr="00BE108E">
        <w:rPr>
          <w:szCs w:val="28"/>
        </w:rPr>
        <w:t xml:space="preserve"> </w:t>
      </w:r>
      <w:r w:rsidRPr="00BE108E">
        <w:rPr>
          <w:szCs w:val="28"/>
        </w:rPr>
        <w:t>разработки механизмов, направленных на повышение эффективности использования энергетических ресурсов при производстве и транспортировке тепловой энергии; оптимизацию существующих тарифов на тепловую энергию путем минимизации затрат на теплоснабжение в расчете на единицу тепловой энергии для потребителя; увеличение доли использования вторичных энергетических ресурсов, возобновляемых источников энергии и местных видов топлива при производстве тепловой энергии при доказанной экономической эффективности.</w:t>
      </w:r>
    </w:p>
    <w:p w:rsidR="00B93BB7" w:rsidRPr="00BE108E" w:rsidRDefault="00B93BB7" w:rsidP="00B93BB7">
      <w:pPr>
        <w:contextualSpacing/>
        <w:rPr>
          <w:szCs w:val="28"/>
        </w:rPr>
      </w:pPr>
      <w:r w:rsidRPr="00BE108E">
        <w:rPr>
          <w:szCs w:val="28"/>
        </w:rPr>
        <w:t xml:space="preserve">Проводились мероприятия, направленные на </w:t>
      </w:r>
      <w:r w:rsidRPr="00BE108E">
        <w:rPr>
          <w:color w:val="000000"/>
          <w:szCs w:val="28"/>
        </w:rPr>
        <w:t xml:space="preserve">диверсификацию топливно-энергетического баланса Мурманской области за счет использования альтернативных, возобновляемых источников энергии. </w:t>
      </w:r>
      <w:r w:rsidRPr="00BE108E">
        <w:rPr>
          <w:szCs w:val="28"/>
        </w:rPr>
        <w:t>В мае 2014 г. в с.</w:t>
      </w:r>
      <w:r w:rsidR="00681450" w:rsidRPr="00BE108E">
        <w:rPr>
          <w:szCs w:val="28"/>
        </w:rPr>
        <w:t> </w:t>
      </w:r>
      <w:r w:rsidRPr="00BE108E">
        <w:rPr>
          <w:szCs w:val="28"/>
        </w:rPr>
        <w:t xml:space="preserve">Пялица состоялся запуск комбинированной </w:t>
      </w:r>
      <w:proofErr w:type="spellStart"/>
      <w:r w:rsidRPr="00BE108E">
        <w:rPr>
          <w:szCs w:val="28"/>
        </w:rPr>
        <w:t>ветро-солнечно-дизельной</w:t>
      </w:r>
      <w:proofErr w:type="spellEnd"/>
      <w:r w:rsidRPr="00BE108E">
        <w:rPr>
          <w:szCs w:val="28"/>
        </w:rPr>
        <w:t xml:space="preserve"> установки, что является первой введенной мощностью на территории Терского района в рамках данного проекта, предусматривающего запуск аналогичных установок в</w:t>
      </w:r>
      <w:r w:rsidR="00BF2C89" w:rsidRPr="00BE108E">
        <w:rPr>
          <w:szCs w:val="28"/>
        </w:rPr>
        <w:t xml:space="preserve"> </w:t>
      </w:r>
      <w:r w:rsidRPr="00BE108E">
        <w:rPr>
          <w:szCs w:val="28"/>
        </w:rPr>
        <w:t>с.</w:t>
      </w:r>
      <w:r w:rsidR="00681450" w:rsidRPr="00BE108E">
        <w:rPr>
          <w:szCs w:val="28"/>
        </w:rPr>
        <w:t> </w:t>
      </w:r>
      <w:r w:rsidRPr="00BE108E">
        <w:rPr>
          <w:szCs w:val="28"/>
        </w:rPr>
        <w:t>Тетрино, с.</w:t>
      </w:r>
      <w:r w:rsidR="00681450" w:rsidRPr="00BE108E">
        <w:rPr>
          <w:szCs w:val="28"/>
        </w:rPr>
        <w:t> </w:t>
      </w:r>
      <w:r w:rsidRPr="00BE108E">
        <w:rPr>
          <w:szCs w:val="28"/>
        </w:rPr>
        <w:t>Чапома, с.</w:t>
      </w:r>
      <w:r w:rsidR="00681450" w:rsidRPr="00BE108E">
        <w:rPr>
          <w:szCs w:val="28"/>
        </w:rPr>
        <w:t> </w:t>
      </w:r>
      <w:r w:rsidRPr="00BE108E">
        <w:rPr>
          <w:szCs w:val="28"/>
        </w:rPr>
        <w:t xml:space="preserve">Чаваньга. В результате реализации проекта обеспечено бесперебойное, круглосуточное энергоснабжение данного населенного пункта. </w:t>
      </w:r>
    </w:p>
    <w:p w:rsidR="00B93BB7" w:rsidRPr="00BE108E" w:rsidRDefault="00B93BB7" w:rsidP="00B93BB7">
      <w:pPr>
        <w:contextualSpacing/>
        <w:rPr>
          <w:szCs w:val="28"/>
        </w:rPr>
      </w:pPr>
      <w:r w:rsidRPr="00BE108E">
        <w:rPr>
          <w:szCs w:val="28"/>
        </w:rPr>
        <w:t xml:space="preserve">Проведены организационные мероприятия по реализации проекта по установке ветродизельных станций в поселениях Терского района. </w:t>
      </w:r>
    </w:p>
    <w:p w:rsidR="00B93BB7" w:rsidRPr="00BE108E" w:rsidRDefault="00B93BB7" w:rsidP="00B93BB7">
      <w:pPr>
        <w:pStyle w:val="Default"/>
        <w:ind w:firstLine="709"/>
        <w:jc w:val="both"/>
        <w:rPr>
          <w:color w:val="auto"/>
          <w:sz w:val="28"/>
          <w:szCs w:val="28"/>
        </w:rPr>
      </w:pPr>
      <w:r w:rsidRPr="00BE108E">
        <w:rPr>
          <w:color w:val="auto"/>
          <w:sz w:val="28"/>
          <w:szCs w:val="28"/>
        </w:rPr>
        <w:t>В рамках заключенных соглашений с предприятиями региона, такими как ОАО «Мурманэнергосбыт»</w:t>
      </w:r>
      <w:r w:rsidR="00681450" w:rsidRPr="00BE108E">
        <w:rPr>
          <w:color w:val="auto"/>
          <w:sz w:val="28"/>
          <w:szCs w:val="28"/>
        </w:rPr>
        <w:t>, ГОУП «Мурманскводоканал»</w:t>
      </w:r>
      <w:r w:rsidRPr="00BE108E">
        <w:rPr>
          <w:color w:val="auto"/>
          <w:sz w:val="28"/>
          <w:szCs w:val="28"/>
        </w:rPr>
        <w:t>, ОАО «Мурманская ТЭЦ» и др. с привлечением средств внебюджетных источников реализовано 95 энергоэффективных мероприятий, направленных на снижение энергопотребления предприятий.</w:t>
      </w:r>
    </w:p>
    <w:p w:rsidR="00B93BB7" w:rsidRPr="00BE108E" w:rsidRDefault="00B93BB7" w:rsidP="00B93BB7">
      <w:pPr>
        <w:pStyle w:val="ConsPlusNonformat"/>
        <w:ind w:firstLine="709"/>
        <w:contextualSpacing/>
        <w:jc w:val="both"/>
        <w:rPr>
          <w:rFonts w:ascii="Times New Roman" w:hAnsi="Times New Roman" w:cs="Times New Roman"/>
          <w:sz w:val="28"/>
          <w:szCs w:val="28"/>
        </w:rPr>
      </w:pPr>
      <w:r w:rsidRPr="00BE108E">
        <w:rPr>
          <w:rFonts w:ascii="Times New Roman" w:hAnsi="Times New Roman"/>
          <w:sz w:val="28"/>
          <w:szCs w:val="28"/>
        </w:rPr>
        <w:lastRenderedPageBreak/>
        <w:t>С целью</w:t>
      </w:r>
      <w:r w:rsidR="00BF2C89" w:rsidRPr="00BE108E">
        <w:rPr>
          <w:rFonts w:ascii="Times New Roman" w:hAnsi="Times New Roman"/>
          <w:sz w:val="28"/>
          <w:szCs w:val="28"/>
        </w:rPr>
        <w:t xml:space="preserve"> </w:t>
      </w:r>
      <w:r w:rsidRPr="00BE108E">
        <w:rPr>
          <w:rFonts w:ascii="Times New Roman" w:eastAsiaTheme="minorHAnsi" w:hAnsi="Times New Roman"/>
          <w:b/>
          <w:sz w:val="28"/>
          <w:szCs w:val="28"/>
        </w:rPr>
        <w:t>м</w:t>
      </w:r>
      <w:r w:rsidRPr="00BE108E">
        <w:rPr>
          <w:rFonts w:ascii="Times New Roman" w:eastAsiaTheme="minorHAnsi" w:hAnsi="Times New Roman" w:cs="Times New Roman"/>
          <w:b/>
          <w:sz w:val="28"/>
          <w:szCs w:val="28"/>
        </w:rPr>
        <w:t>одернизаци</w:t>
      </w:r>
      <w:r w:rsidRPr="00BE108E">
        <w:rPr>
          <w:rFonts w:ascii="Times New Roman" w:eastAsiaTheme="minorHAnsi" w:hAnsi="Times New Roman"/>
          <w:b/>
          <w:sz w:val="28"/>
          <w:szCs w:val="28"/>
        </w:rPr>
        <w:t>и</w:t>
      </w:r>
      <w:r w:rsidRPr="00BE108E">
        <w:rPr>
          <w:rFonts w:ascii="Times New Roman" w:eastAsiaTheme="minorHAnsi" w:hAnsi="Times New Roman" w:cs="Times New Roman"/>
          <w:b/>
          <w:sz w:val="28"/>
          <w:szCs w:val="28"/>
        </w:rPr>
        <w:t xml:space="preserve"> топливно-энергетического комплекса</w:t>
      </w:r>
      <w:r w:rsidRPr="00BE108E">
        <w:rPr>
          <w:rFonts w:ascii="Times New Roman" w:eastAsiaTheme="minorHAnsi" w:hAnsi="Times New Roman"/>
          <w:sz w:val="28"/>
          <w:szCs w:val="28"/>
        </w:rPr>
        <w:t xml:space="preserve"> з</w:t>
      </w:r>
      <w:r w:rsidRPr="00BE108E">
        <w:rPr>
          <w:rFonts w:ascii="Times New Roman" w:hAnsi="Times New Roman" w:cs="Times New Roman"/>
          <w:sz w:val="28"/>
          <w:szCs w:val="28"/>
        </w:rPr>
        <w:t xml:space="preserve">авершены работы по технологическому присоединению энергопринимающих устройств потребителей электрической энергии и (или) объектов </w:t>
      </w:r>
      <w:r w:rsidR="00681450" w:rsidRPr="00BE108E">
        <w:rPr>
          <w:rFonts w:ascii="Times New Roman" w:hAnsi="Times New Roman" w:cs="Times New Roman"/>
          <w:sz w:val="28"/>
          <w:szCs w:val="28"/>
        </w:rPr>
        <w:t>электросетевого хозяйства с. </w:t>
      </w:r>
      <w:r w:rsidRPr="00BE108E">
        <w:rPr>
          <w:rFonts w:ascii="Times New Roman" w:hAnsi="Times New Roman" w:cs="Times New Roman"/>
          <w:sz w:val="28"/>
          <w:szCs w:val="28"/>
        </w:rPr>
        <w:t>Кашкаранцы Терского района к электрическим сетям.</w:t>
      </w:r>
    </w:p>
    <w:p w:rsidR="00B93BB7" w:rsidRPr="00BE108E" w:rsidRDefault="00B93BB7" w:rsidP="00B93BB7">
      <w:pPr>
        <w:pStyle w:val="Default"/>
        <w:ind w:firstLine="709"/>
        <w:jc w:val="both"/>
        <w:rPr>
          <w:color w:val="auto"/>
          <w:sz w:val="28"/>
          <w:szCs w:val="28"/>
        </w:rPr>
      </w:pPr>
      <w:r w:rsidRPr="00BE108E">
        <w:rPr>
          <w:sz w:val="28"/>
          <w:szCs w:val="28"/>
        </w:rPr>
        <w:t>Продолжалась реконструкция системы централизованного теплоснабжения в п.г.т. Зеленоборский Кандалакшского района. За отчетный период выполнено около 80</w:t>
      </w:r>
      <w:r w:rsidR="00BF2C89" w:rsidRPr="00BE108E">
        <w:rPr>
          <w:sz w:val="28"/>
          <w:szCs w:val="28"/>
        </w:rPr>
        <w:t>%</w:t>
      </w:r>
      <w:r w:rsidRPr="00BE108E">
        <w:rPr>
          <w:sz w:val="28"/>
          <w:szCs w:val="28"/>
        </w:rPr>
        <w:t xml:space="preserve"> строительно-монтажных работ по строительству угольной котельной. В</w:t>
      </w:r>
      <w:r w:rsidRPr="00BE108E">
        <w:rPr>
          <w:color w:val="auto"/>
          <w:sz w:val="28"/>
          <w:szCs w:val="28"/>
        </w:rPr>
        <w:t xml:space="preserve"> связи с необеспечением со стороны администрации муниципального образования подключения котельной к сетям электро- и водоснабжения не удалось сдать объект в установленные сроки. </w:t>
      </w:r>
    </w:p>
    <w:p w:rsidR="00B93BB7" w:rsidRPr="00BE108E" w:rsidRDefault="00B93BB7" w:rsidP="00B93BB7">
      <w:pPr>
        <w:pStyle w:val="Default"/>
        <w:ind w:firstLine="709"/>
        <w:jc w:val="both"/>
        <w:rPr>
          <w:bCs/>
          <w:sz w:val="28"/>
          <w:szCs w:val="28"/>
        </w:rPr>
      </w:pPr>
      <w:r w:rsidRPr="00BE108E">
        <w:rPr>
          <w:color w:val="auto"/>
          <w:sz w:val="28"/>
          <w:szCs w:val="28"/>
        </w:rPr>
        <w:t>Также не</w:t>
      </w:r>
      <w:r w:rsidRPr="00BE108E">
        <w:rPr>
          <w:sz w:val="28"/>
          <w:szCs w:val="28"/>
        </w:rPr>
        <w:t xml:space="preserve"> </w:t>
      </w:r>
      <w:r w:rsidRPr="00BE108E">
        <w:rPr>
          <w:color w:val="auto"/>
          <w:sz w:val="28"/>
          <w:szCs w:val="28"/>
        </w:rPr>
        <w:t>было завершено проектирование работ по реконструкции системы централизованного теплоснабжения н.п.</w:t>
      </w:r>
      <w:r w:rsidR="00681450" w:rsidRPr="00BE108E">
        <w:rPr>
          <w:color w:val="auto"/>
          <w:sz w:val="28"/>
          <w:szCs w:val="28"/>
        </w:rPr>
        <w:t> </w:t>
      </w:r>
      <w:r w:rsidRPr="00BE108E">
        <w:rPr>
          <w:color w:val="auto"/>
          <w:sz w:val="28"/>
          <w:szCs w:val="28"/>
        </w:rPr>
        <w:t>Мокрая Кица Кольского района (по причине низкой квалификации исполнителя,</w:t>
      </w:r>
      <w:r w:rsidR="00BF2C89" w:rsidRPr="00BE108E">
        <w:rPr>
          <w:color w:val="auto"/>
          <w:sz w:val="28"/>
          <w:szCs w:val="28"/>
        </w:rPr>
        <w:t xml:space="preserve"> </w:t>
      </w:r>
      <w:r w:rsidRPr="00BE108E">
        <w:rPr>
          <w:color w:val="auto"/>
          <w:sz w:val="28"/>
          <w:szCs w:val="28"/>
        </w:rPr>
        <w:t>ПСД в третий раз была направлена на госэкспертизу). В связи с отсутствием решения о продолжении реализации инвестиционного проекта не осуществлялось строительство угольной котельной в г. Мончегорске.</w:t>
      </w:r>
      <w:r w:rsidR="00BF2C89" w:rsidRPr="00BE108E">
        <w:rPr>
          <w:color w:val="auto"/>
          <w:sz w:val="28"/>
          <w:szCs w:val="28"/>
        </w:rPr>
        <w:t xml:space="preserve"> </w:t>
      </w:r>
    </w:p>
    <w:p w:rsidR="00B93BB7" w:rsidRPr="00BE108E" w:rsidRDefault="00B93BB7" w:rsidP="00B93BB7">
      <w:pPr>
        <w:pStyle w:val="ConsPlusNonformat"/>
        <w:ind w:firstLine="709"/>
        <w:contextualSpacing/>
        <w:jc w:val="both"/>
        <w:rPr>
          <w:rFonts w:ascii="Times New Roman" w:hAnsi="Times New Roman" w:cs="Times New Roman"/>
          <w:sz w:val="28"/>
          <w:szCs w:val="28"/>
          <w:lang w:eastAsia="ru-RU"/>
        </w:rPr>
      </w:pPr>
      <w:r w:rsidRPr="00BE108E">
        <w:rPr>
          <w:rFonts w:ascii="Times New Roman" w:hAnsi="Times New Roman" w:cs="Times New Roman"/>
          <w:sz w:val="28"/>
          <w:szCs w:val="28"/>
          <w:lang w:eastAsia="ru-RU"/>
        </w:rPr>
        <w:t xml:space="preserve">В результате показатель по количеству построенных и реконструируемых объектов топливно-энергетического комплекса и вводу в эксплуатацию объектов теплоснабжения не был выполнен. </w:t>
      </w:r>
    </w:p>
    <w:p w:rsidR="00B93BB7" w:rsidRPr="00BE108E" w:rsidRDefault="00B93BB7" w:rsidP="00B93BB7">
      <w:pPr>
        <w:autoSpaceDE w:val="0"/>
        <w:autoSpaceDN w:val="0"/>
        <w:adjustRightInd w:val="0"/>
        <w:ind w:firstLine="540"/>
        <w:rPr>
          <w:rFonts w:eastAsiaTheme="minorHAnsi"/>
          <w:szCs w:val="28"/>
        </w:rPr>
      </w:pPr>
      <w:r w:rsidRPr="00BE108E">
        <w:rPr>
          <w:szCs w:val="28"/>
        </w:rPr>
        <w:t>Осуществлена корректировка схемы и программы развития электроэнергетики Мурманской области, являющейся, в том числе, о</w:t>
      </w:r>
      <w:r w:rsidRPr="00BE108E">
        <w:rPr>
          <w:rFonts w:eastAsiaTheme="minorHAnsi"/>
          <w:szCs w:val="28"/>
        </w:rPr>
        <w:t xml:space="preserve">сновой для разработки схем выдачи мощности региональных электростанций, для формирования предложений по определению зон свободного </w:t>
      </w:r>
      <w:proofErr w:type="spellStart"/>
      <w:r w:rsidRPr="00BE108E">
        <w:rPr>
          <w:rFonts w:eastAsiaTheme="minorHAnsi"/>
          <w:szCs w:val="28"/>
        </w:rPr>
        <w:t>перетока</w:t>
      </w:r>
      <w:proofErr w:type="spellEnd"/>
      <w:r w:rsidRPr="00BE108E">
        <w:rPr>
          <w:rFonts w:eastAsiaTheme="minorHAnsi"/>
          <w:szCs w:val="28"/>
        </w:rPr>
        <w:t xml:space="preserve"> электрической энергии (мощности), а также для разработки инвестиционных программ распределительных сетевых компаний.</w:t>
      </w:r>
    </w:p>
    <w:p w:rsidR="00B93BB7" w:rsidRPr="00BE108E" w:rsidRDefault="00B93BB7" w:rsidP="00B93BB7">
      <w:pPr>
        <w:pStyle w:val="ConsPlusNonformat"/>
        <w:ind w:firstLine="709"/>
        <w:contextualSpacing/>
        <w:jc w:val="both"/>
        <w:rPr>
          <w:rFonts w:ascii="Times New Roman" w:hAnsi="Times New Roman" w:cs="Times New Roman"/>
          <w:sz w:val="28"/>
          <w:szCs w:val="28"/>
        </w:rPr>
      </w:pPr>
      <w:r w:rsidRPr="00BE108E">
        <w:rPr>
          <w:rFonts w:ascii="Times New Roman" w:hAnsi="Times New Roman" w:cs="Times New Roman"/>
          <w:sz w:val="28"/>
          <w:szCs w:val="28"/>
        </w:rPr>
        <w:t>В целях сокращения величины субсидиарной задолженности по обязательствам муниципальных учреждений перед ресурсоснабжающими организациями средства в сумме 100 млн. рублей были направлены 8 муниципальным образованиям. В результате задолженность перед ГОУТП «ТЭКОС», ГОУП «</w:t>
      </w:r>
      <w:proofErr w:type="spellStart"/>
      <w:r w:rsidRPr="00BE108E">
        <w:rPr>
          <w:rFonts w:ascii="Times New Roman" w:hAnsi="Times New Roman" w:cs="Times New Roman"/>
          <w:sz w:val="28"/>
          <w:szCs w:val="28"/>
        </w:rPr>
        <w:t>Мурманскводоканал</w:t>
      </w:r>
      <w:proofErr w:type="spellEnd"/>
      <w:r w:rsidRPr="00BE108E">
        <w:rPr>
          <w:rFonts w:ascii="Times New Roman" w:hAnsi="Times New Roman" w:cs="Times New Roman"/>
          <w:sz w:val="28"/>
          <w:szCs w:val="28"/>
        </w:rPr>
        <w:t>», ООО «</w:t>
      </w:r>
      <w:proofErr w:type="spellStart"/>
      <w:r w:rsidRPr="00BE108E">
        <w:rPr>
          <w:rFonts w:ascii="Times New Roman" w:hAnsi="Times New Roman" w:cs="Times New Roman"/>
          <w:sz w:val="28"/>
          <w:szCs w:val="28"/>
        </w:rPr>
        <w:t>Русэнергосбыт</w:t>
      </w:r>
      <w:proofErr w:type="spellEnd"/>
      <w:r w:rsidRPr="00BE108E">
        <w:rPr>
          <w:rFonts w:ascii="Times New Roman" w:hAnsi="Times New Roman" w:cs="Times New Roman"/>
          <w:sz w:val="28"/>
          <w:szCs w:val="28"/>
        </w:rPr>
        <w:t>» и ОАО «Мурманская ТЭЦ» погашена в полном об</w:t>
      </w:r>
      <w:r w:rsidR="00681450" w:rsidRPr="00BE108E">
        <w:rPr>
          <w:rFonts w:ascii="Times New Roman" w:hAnsi="Times New Roman" w:cs="Times New Roman"/>
          <w:sz w:val="28"/>
          <w:szCs w:val="28"/>
        </w:rPr>
        <w:t>ъеме, перед ОАО «</w:t>
      </w:r>
      <w:proofErr w:type="spellStart"/>
      <w:r w:rsidR="00681450" w:rsidRPr="00BE108E">
        <w:rPr>
          <w:rFonts w:ascii="Times New Roman" w:hAnsi="Times New Roman" w:cs="Times New Roman"/>
          <w:sz w:val="28"/>
          <w:szCs w:val="28"/>
        </w:rPr>
        <w:t>Колэнергосбыт</w:t>
      </w:r>
      <w:proofErr w:type="spellEnd"/>
      <w:r w:rsidR="00681450" w:rsidRPr="00BE108E">
        <w:rPr>
          <w:rFonts w:ascii="Times New Roman" w:hAnsi="Times New Roman" w:cs="Times New Roman"/>
          <w:sz w:val="28"/>
          <w:szCs w:val="28"/>
        </w:rPr>
        <w:t xml:space="preserve">» </w:t>
      </w:r>
      <w:r w:rsidR="00681450" w:rsidRPr="00BE108E">
        <w:rPr>
          <w:szCs w:val="28"/>
        </w:rPr>
        <w:t>–</w:t>
      </w:r>
      <w:r w:rsidRPr="00BE108E">
        <w:rPr>
          <w:rFonts w:ascii="Times New Roman" w:hAnsi="Times New Roman" w:cs="Times New Roman"/>
          <w:sz w:val="28"/>
          <w:szCs w:val="28"/>
        </w:rPr>
        <w:t xml:space="preserve"> частично.</w:t>
      </w:r>
    </w:p>
    <w:p w:rsidR="00B93BB7" w:rsidRPr="00BE108E" w:rsidRDefault="00B93BB7" w:rsidP="00B93BB7">
      <w:pPr>
        <w:pStyle w:val="ConsPlusNonformat"/>
        <w:ind w:firstLine="709"/>
        <w:contextualSpacing/>
        <w:jc w:val="both"/>
        <w:rPr>
          <w:rFonts w:ascii="Times New Roman" w:hAnsi="Times New Roman" w:cs="Times New Roman"/>
          <w:sz w:val="28"/>
          <w:szCs w:val="28"/>
        </w:rPr>
      </w:pPr>
      <w:r w:rsidRPr="00BE108E">
        <w:rPr>
          <w:rFonts w:ascii="Times New Roman" w:hAnsi="Times New Roman" w:cs="Times New Roman"/>
          <w:sz w:val="28"/>
          <w:szCs w:val="28"/>
        </w:rPr>
        <w:t>На подготовку муниципальных образований Мурманской области к работе в отопительном периоде 2014/2015 годов были направлены средства областного бюджета в объеме 159,1 млн. рублей. Проведен капитальный ремонт 56 км инженерных сетей и 22 объектов жилищно-коммунального хозяйства муниципальных образований области.</w:t>
      </w:r>
    </w:p>
    <w:p w:rsidR="00B93BB7" w:rsidRPr="00BE108E" w:rsidRDefault="00B93BB7" w:rsidP="00B93BB7">
      <w:pPr>
        <w:pStyle w:val="ConsPlusNonformat"/>
        <w:ind w:firstLine="709"/>
        <w:contextualSpacing/>
        <w:jc w:val="both"/>
        <w:rPr>
          <w:rFonts w:ascii="Times New Roman" w:hAnsi="Times New Roman" w:cs="Times New Roman"/>
          <w:sz w:val="28"/>
          <w:szCs w:val="28"/>
        </w:rPr>
      </w:pPr>
      <w:r w:rsidRPr="00BE108E">
        <w:rPr>
          <w:rFonts w:ascii="Times New Roman" w:hAnsi="Times New Roman" w:cs="Times New Roman"/>
          <w:sz w:val="28"/>
          <w:szCs w:val="28"/>
        </w:rPr>
        <w:t>Средства субсидии из областного бюджета в сумме 2 576,5 млн. рублей были направлены на компенсацию выпадающих доходов ресурсоснабжающим организациям, осуществляющим свою деятельность по тарифам, не обеспечивающим возмещение издержек.</w:t>
      </w:r>
    </w:p>
    <w:p w:rsidR="00B93BB7" w:rsidRPr="0016619B" w:rsidRDefault="00B93BB7" w:rsidP="00B93BB7">
      <w:pPr>
        <w:pStyle w:val="ConsPlusNonformat"/>
        <w:ind w:firstLine="709"/>
        <w:contextualSpacing/>
        <w:jc w:val="both"/>
        <w:rPr>
          <w:rFonts w:ascii="Times New Roman" w:hAnsi="Times New Roman" w:cs="Times New Roman"/>
          <w:sz w:val="28"/>
          <w:szCs w:val="28"/>
        </w:rPr>
      </w:pPr>
      <w:r w:rsidRPr="00BE108E">
        <w:rPr>
          <w:rFonts w:ascii="Times New Roman" w:hAnsi="Times New Roman" w:cs="Times New Roman"/>
          <w:sz w:val="28"/>
          <w:szCs w:val="28"/>
        </w:rPr>
        <w:t xml:space="preserve">Для обеспечения нефтепродуктами и топливом удаленных населенных пунктов с ограниченными сроками завоза грузов муниципальным образованиям Терский район, Ловозерский район и с.п. Ловозеро направлены средства </w:t>
      </w:r>
      <w:r w:rsidRPr="00BE108E">
        <w:rPr>
          <w:rFonts w:ascii="Times New Roman" w:hAnsi="Times New Roman" w:cs="Times New Roman"/>
          <w:sz w:val="28"/>
          <w:szCs w:val="28"/>
        </w:rPr>
        <w:lastRenderedPageBreak/>
        <w:t xml:space="preserve">областного бюджета в размере 37,3 млн. </w:t>
      </w:r>
      <w:r w:rsidRPr="0016619B">
        <w:rPr>
          <w:rFonts w:ascii="Times New Roman" w:hAnsi="Times New Roman" w:cs="Times New Roman"/>
          <w:sz w:val="28"/>
          <w:szCs w:val="28"/>
        </w:rPr>
        <w:t>рублей, на которые были закуплены нефтепродукты в объеме, достаточном для бесперебойного электроснабжения</w:t>
      </w:r>
      <w:r w:rsidR="00BF2C89" w:rsidRPr="0016619B">
        <w:rPr>
          <w:rFonts w:ascii="Times New Roman" w:hAnsi="Times New Roman" w:cs="Times New Roman"/>
          <w:sz w:val="28"/>
          <w:szCs w:val="28"/>
        </w:rPr>
        <w:t xml:space="preserve"> </w:t>
      </w:r>
      <w:r w:rsidRPr="0016619B">
        <w:rPr>
          <w:rFonts w:ascii="Times New Roman" w:hAnsi="Times New Roman" w:cs="Times New Roman"/>
          <w:sz w:val="28"/>
          <w:szCs w:val="28"/>
        </w:rPr>
        <w:t xml:space="preserve">населенных пунктов указанных муниципальных образований. </w:t>
      </w:r>
    </w:p>
    <w:p w:rsidR="00B93BB7" w:rsidRPr="00BE108E" w:rsidRDefault="00B93BB7" w:rsidP="00B93BB7">
      <w:pPr>
        <w:pStyle w:val="Default"/>
        <w:ind w:firstLine="709"/>
        <w:jc w:val="both"/>
        <w:rPr>
          <w:bCs/>
          <w:sz w:val="28"/>
          <w:szCs w:val="28"/>
        </w:rPr>
      </w:pPr>
      <w:r w:rsidRPr="0016619B">
        <w:rPr>
          <w:bCs/>
          <w:sz w:val="28"/>
          <w:szCs w:val="28"/>
        </w:rPr>
        <w:t>Проводились работы по ремонту сетей водоотведения. Не все запланированные объекты были отремонтированы по причине отвлечения части средств областного бюджета на работы по</w:t>
      </w:r>
      <w:r w:rsidRPr="00BE108E">
        <w:rPr>
          <w:bCs/>
          <w:sz w:val="28"/>
          <w:szCs w:val="28"/>
        </w:rPr>
        <w:t xml:space="preserve"> капитальному ремонту сетей теплоснабжения, представляющих первостепенную важность при прохождении отопительного периода. В связи с этим</w:t>
      </w:r>
      <w:r w:rsidR="00BF2C89" w:rsidRPr="00BE108E">
        <w:rPr>
          <w:bCs/>
          <w:sz w:val="28"/>
          <w:szCs w:val="28"/>
        </w:rPr>
        <w:t xml:space="preserve"> </w:t>
      </w:r>
      <w:r w:rsidR="005C639B">
        <w:rPr>
          <w:bCs/>
          <w:sz w:val="28"/>
          <w:szCs w:val="28"/>
        </w:rPr>
        <w:t xml:space="preserve">значение </w:t>
      </w:r>
      <w:r w:rsidRPr="00BE108E">
        <w:rPr>
          <w:bCs/>
          <w:sz w:val="28"/>
          <w:szCs w:val="28"/>
        </w:rPr>
        <w:t>показател</w:t>
      </w:r>
      <w:r w:rsidR="005C639B">
        <w:rPr>
          <w:bCs/>
          <w:sz w:val="28"/>
          <w:szCs w:val="28"/>
        </w:rPr>
        <w:t>я</w:t>
      </w:r>
      <w:r w:rsidRPr="00BE108E">
        <w:rPr>
          <w:bCs/>
          <w:sz w:val="28"/>
          <w:szCs w:val="28"/>
        </w:rPr>
        <w:t xml:space="preserve"> протяженности сетей водоотведения, на которых произведен капитальный ремонт</w:t>
      </w:r>
      <w:r w:rsidR="00B63F0D" w:rsidRPr="00BE108E">
        <w:rPr>
          <w:bCs/>
          <w:sz w:val="28"/>
          <w:szCs w:val="28"/>
        </w:rPr>
        <w:t>,</w:t>
      </w:r>
      <w:r w:rsidRPr="00BE108E">
        <w:rPr>
          <w:bCs/>
          <w:sz w:val="28"/>
          <w:szCs w:val="28"/>
        </w:rPr>
        <w:t xml:space="preserve"> достигнут</w:t>
      </w:r>
      <w:r w:rsidR="005C639B">
        <w:rPr>
          <w:bCs/>
          <w:sz w:val="28"/>
          <w:szCs w:val="28"/>
        </w:rPr>
        <w:t>о</w:t>
      </w:r>
      <w:r w:rsidRPr="00BE108E">
        <w:rPr>
          <w:bCs/>
          <w:sz w:val="28"/>
          <w:szCs w:val="28"/>
        </w:rPr>
        <w:t xml:space="preserve"> не в полном объеме (81,7</w:t>
      </w:r>
      <w:r w:rsidR="00BF2C89" w:rsidRPr="00BE108E">
        <w:rPr>
          <w:bCs/>
          <w:sz w:val="28"/>
          <w:szCs w:val="28"/>
        </w:rPr>
        <w:t>%</w:t>
      </w:r>
      <w:r w:rsidRPr="00BE108E">
        <w:rPr>
          <w:bCs/>
          <w:sz w:val="28"/>
          <w:szCs w:val="28"/>
        </w:rPr>
        <w:t xml:space="preserve">). </w:t>
      </w:r>
    </w:p>
    <w:p w:rsidR="00681450" w:rsidRPr="00BE108E" w:rsidRDefault="00681450" w:rsidP="00681450">
      <w:pPr>
        <w:pStyle w:val="Default"/>
        <w:ind w:firstLine="709"/>
        <w:jc w:val="both"/>
        <w:rPr>
          <w:color w:val="auto"/>
          <w:sz w:val="28"/>
          <w:szCs w:val="28"/>
        </w:rPr>
      </w:pPr>
      <w:r w:rsidRPr="00BE108E">
        <w:rPr>
          <w:sz w:val="28"/>
          <w:szCs w:val="28"/>
        </w:rPr>
        <w:t xml:space="preserve">В результате реализации мероприятий программы к концу 2014 года </w:t>
      </w:r>
      <w:r w:rsidRPr="00BE108E">
        <w:rPr>
          <w:color w:val="auto"/>
          <w:sz w:val="28"/>
          <w:szCs w:val="28"/>
        </w:rPr>
        <w:t xml:space="preserve">обеспечено по сравнению с 2013 годом снижение на 3% потребления энергетических ресурсов, на 3,3% доли ветхих инженерных сетей жилищно-коммунального хозяйства муниципальных образований от общего объема инженерных сетей, увеличение на 30,3% доли погашенной задолженности муниципальных образований Мурманской области в рамках субсидиарной ответственности перед ресурсоснабжающими организациями. </w:t>
      </w:r>
    </w:p>
    <w:p w:rsidR="00B93BB7" w:rsidRPr="00BE108E" w:rsidRDefault="00B93BB7" w:rsidP="00D77393">
      <w:pPr>
        <w:rPr>
          <w:bCs/>
          <w:strike/>
          <w:color w:val="FF0000"/>
        </w:rPr>
      </w:pPr>
      <w:r w:rsidRPr="00BE108E">
        <w:t>Всего на 2014 год по государственной программе были предусмотрены к выполнению 28 показателей целей и задач, из которых 23 достигнуты с высокой степенью, 1 – со средней, 3 – с низкой (по 2 из которых степень достижения 0</w:t>
      </w:r>
      <w:r w:rsidR="00BF2C89" w:rsidRPr="00BE108E">
        <w:t>%</w:t>
      </w:r>
      <w:r w:rsidRPr="00BE108E">
        <w:t>), 1 – значительно перевыполнен. Средняя степень достижения показателей государственной программы – 96,5</w:t>
      </w:r>
      <w:r w:rsidR="00BF2C89" w:rsidRPr="00BE108E">
        <w:t>%</w:t>
      </w:r>
      <w:r w:rsidRPr="00BE108E">
        <w:t xml:space="preserve">. </w:t>
      </w:r>
    </w:p>
    <w:p w:rsidR="00B93BB7" w:rsidRPr="00BE108E" w:rsidRDefault="00B93BB7" w:rsidP="00D77393">
      <w:r w:rsidRPr="00BE108E">
        <w:t>В соответствии с утвержденной методикой степень достижения цели государственной программы составляет 100</w:t>
      </w:r>
      <w:r w:rsidR="00BF2C89" w:rsidRPr="00BE108E">
        <w:t>%</w:t>
      </w:r>
      <w:r w:rsidRPr="00BE108E">
        <w:t>, задач – 78,8</w:t>
      </w:r>
      <w:r w:rsidR="00BF2C89" w:rsidRPr="00BE108E">
        <w:t>%</w:t>
      </w:r>
      <w:r w:rsidRPr="00BE108E">
        <w:t xml:space="preserve">. </w:t>
      </w:r>
    </w:p>
    <w:p w:rsidR="00D77393" w:rsidRPr="00BE108E" w:rsidRDefault="00D77393" w:rsidP="00D77393">
      <w:pPr>
        <w:rPr>
          <w:color w:val="000000"/>
        </w:rPr>
      </w:pPr>
      <w:r w:rsidRPr="00BE108E">
        <w:rPr>
          <w:color w:val="000000"/>
        </w:rPr>
        <w:t>Степень соответствия запланированному уровню затрат и эффективности испол</w:t>
      </w:r>
      <w:r w:rsidR="00A23755" w:rsidRPr="00BE108E">
        <w:rPr>
          <w:color w:val="000000"/>
        </w:rPr>
        <w:t>ьзования средств составляет 104</w:t>
      </w:r>
      <w:r w:rsidRPr="00BE108E">
        <w:rPr>
          <w:color w:val="000000"/>
        </w:rPr>
        <w:t xml:space="preserve">%. </w:t>
      </w:r>
    </w:p>
    <w:p w:rsidR="00FF4E43" w:rsidRPr="00BE108E" w:rsidRDefault="00D77393" w:rsidP="00D77393">
      <w:pPr>
        <w:rPr>
          <w:rStyle w:val="FontStyle14"/>
          <w:sz w:val="28"/>
          <w:szCs w:val="28"/>
        </w:rPr>
      </w:pPr>
      <w:r w:rsidRPr="00BE108E">
        <w:rPr>
          <w:color w:val="000000"/>
        </w:rPr>
        <w:t>Достигнутые результаты свидетельствуют о высоком уровне эффективности реализации государственной программы.</w:t>
      </w:r>
    </w:p>
    <w:p w:rsidR="00FF4E43" w:rsidRPr="00BE108E" w:rsidRDefault="00FF4E43" w:rsidP="00FF4E43">
      <w:pPr>
        <w:pStyle w:val="ConsPlusCell"/>
        <w:ind w:firstLine="709"/>
        <w:jc w:val="both"/>
        <w:rPr>
          <w:rStyle w:val="FontStyle14"/>
          <w:sz w:val="28"/>
          <w:szCs w:val="28"/>
        </w:rPr>
      </w:pPr>
    </w:p>
    <w:p w:rsidR="005C639B" w:rsidRDefault="005C639B">
      <w:pPr>
        <w:spacing w:after="200" w:line="276" w:lineRule="auto"/>
        <w:ind w:firstLine="0"/>
        <w:jc w:val="left"/>
        <w:rPr>
          <w:rFonts w:eastAsiaTheme="majorEastAsia" w:cstheme="majorBidi"/>
          <w:b/>
          <w:bCs/>
          <w:szCs w:val="28"/>
        </w:rPr>
      </w:pPr>
      <w:r>
        <w:br w:type="page"/>
      </w:r>
    </w:p>
    <w:p w:rsidR="00BE108E" w:rsidRPr="00BE108E" w:rsidRDefault="00BE108E" w:rsidP="00BE108E">
      <w:pPr>
        <w:pStyle w:val="1"/>
      </w:pPr>
      <w:r w:rsidRPr="00BE108E">
        <w:lastRenderedPageBreak/>
        <w:t xml:space="preserve">Государственная программа 9 «Обеспечение общественного порядка и безопасности населения региона» </w:t>
      </w:r>
    </w:p>
    <w:p w:rsidR="00D064E3" w:rsidRPr="00BE108E" w:rsidRDefault="00D064E3" w:rsidP="00D064E3"/>
    <w:p w:rsidR="00D064E3" w:rsidRPr="00BE108E" w:rsidRDefault="00D064E3" w:rsidP="00D064E3">
      <w:pPr>
        <w:ind w:firstLine="0"/>
      </w:pPr>
      <w:r>
        <w:rPr>
          <w:noProof/>
        </w:rPr>
        <w:drawing>
          <wp:inline distT="0" distB="0" distL="0" distR="0">
            <wp:extent cx="2955852" cy="3083442"/>
            <wp:effectExtent l="0" t="0" r="16510" b="22225"/>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t xml:space="preserve"> </w:t>
      </w:r>
      <w:r>
        <w:rPr>
          <w:noProof/>
        </w:rPr>
        <w:drawing>
          <wp:inline distT="0" distB="0" distL="0" distR="0">
            <wp:extent cx="3072809" cy="3083442"/>
            <wp:effectExtent l="0" t="0" r="13335" b="22225"/>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13F31" w:rsidRDefault="00C13F31" w:rsidP="00C13F31">
      <w:pPr>
        <w:ind w:firstLine="0"/>
        <w:jc w:val="center"/>
        <w:rPr>
          <w:sz w:val="24"/>
        </w:rPr>
      </w:pPr>
      <w:r w:rsidRPr="00C13F31">
        <w:rPr>
          <w:sz w:val="24"/>
        </w:rPr>
        <w:t xml:space="preserve">Рисунок </w:t>
      </w:r>
      <w:r w:rsidR="005C639B">
        <w:rPr>
          <w:sz w:val="24"/>
        </w:rPr>
        <w:t>13</w:t>
      </w:r>
    </w:p>
    <w:p w:rsidR="00BE108E" w:rsidRPr="00BE108E" w:rsidRDefault="00BE108E" w:rsidP="00BE108E"/>
    <w:p w:rsidR="00BE108E" w:rsidRPr="00BE108E" w:rsidRDefault="00BE108E" w:rsidP="00BE108E">
      <w:r w:rsidRPr="00BE108E">
        <w:t>Финансирование государственной программы обеспечивалось только за счет средств областного бюджета. В 2014 году на ее реализацию предполагалось направить 1 406,9 млн. рублей, фактически израсходовано 1 384,5 млн. рублей (98,4</w:t>
      </w:r>
      <w:r w:rsidR="00FB5C0B">
        <w:t>%</w:t>
      </w:r>
      <w:r w:rsidRPr="00BE108E">
        <w:t xml:space="preserve">). </w:t>
      </w:r>
    </w:p>
    <w:p w:rsidR="00BE108E" w:rsidRPr="00BE108E" w:rsidRDefault="00BE108E" w:rsidP="00BE108E">
      <w:r w:rsidRPr="00BE108E">
        <w:t xml:space="preserve">В рамках мероприятий по </w:t>
      </w:r>
      <w:r w:rsidRPr="00BE108E">
        <w:rPr>
          <w:b/>
        </w:rPr>
        <w:t>созданию условий для обеспечения правопорядка в общественных местах</w:t>
      </w:r>
      <w:r w:rsidRPr="00BE108E">
        <w:t xml:space="preserve"> осуществлялось дальнейшее развитие и содержание аппаратно-программного комплекса «Безопасный город» (далее – АПК «Безопасный город»). По информации УМВД России по Мурманской области в 2014 году с использованием АПК «Безопасный город» на территории области выявлено 71 преступление. Число уличных преступлений сократилось на 8,1% и составило 2149 фактов.</w:t>
      </w:r>
    </w:p>
    <w:p w:rsidR="00BE108E" w:rsidRPr="00BE108E" w:rsidRDefault="00BE108E" w:rsidP="00BE108E">
      <w:r w:rsidRPr="00BE108E">
        <w:t>В целом наблюдается рост к</w:t>
      </w:r>
      <w:r w:rsidRPr="00BE108E">
        <w:rPr>
          <w:rFonts w:eastAsia="Calibri"/>
          <w:lang w:eastAsia="en-US"/>
        </w:rPr>
        <w:t xml:space="preserve">оличества преступлений (4847 ед.), совершенных в общественных местах, как по отношению к 2013 году </w:t>
      </w:r>
      <w:r>
        <w:rPr>
          <w:rFonts w:eastAsia="Calibri"/>
          <w:lang w:eastAsia="en-US"/>
        </w:rPr>
        <w:t>–</w:t>
      </w:r>
      <w:r w:rsidRPr="00BE108E">
        <w:rPr>
          <w:rFonts w:eastAsia="Calibri"/>
          <w:lang w:eastAsia="en-US"/>
        </w:rPr>
        <w:t xml:space="preserve"> на</w:t>
      </w:r>
      <w:r>
        <w:rPr>
          <w:rFonts w:eastAsia="Calibri"/>
          <w:lang w:eastAsia="en-US"/>
        </w:rPr>
        <w:t xml:space="preserve"> </w:t>
      </w:r>
      <w:r w:rsidRPr="00BE108E">
        <w:rPr>
          <w:rFonts w:eastAsia="Calibri"/>
          <w:lang w:eastAsia="en-US"/>
        </w:rPr>
        <w:t xml:space="preserve">12,6%, так и к установленному пороговому значению </w:t>
      </w:r>
      <w:r>
        <w:rPr>
          <w:rFonts w:eastAsia="Calibri"/>
          <w:lang w:eastAsia="en-US"/>
        </w:rPr>
        <w:t>–</w:t>
      </w:r>
      <w:r w:rsidRPr="00BE108E">
        <w:rPr>
          <w:rFonts w:eastAsia="Calibri"/>
          <w:lang w:eastAsia="en-US"/>
        </w:rPr>
        <w:t xml:space="preserve"> на</w:t>
      </w:r>
      <w:r>
        <w:rPr>
          <w:rFonts w:eastAsia="Calibri"/>
          <w:lang w:eastAsia="en-US"/>
        </w:rPr>
        <w:t xml:space="preserve"> </w:t>
      </w:r>
      <w:r w:rsidRPr="00BE108E">
        <w:rPr>
          <w:rFonts w:eastAsia="Calibri"/>
          <w:lang w:eastAsia="en-US"/>
        </w:rPr>
        <w:t xml:space="preserve">4,8%. Учитывая, что </w:t>
      </w:r>
      <w:r w:rsidRPr="00BE108E">
        <w:t>значение показателя в том числе отражает рост фиксации преступлений и снижение латентной (скрытой) преступности, нельзя рассматривать данный факт только как негативный.</w:t>
      </w:r>
    </w:p>
    <w:p w:rsidR="00BE108E" w:rsidRPr="00BE108E" w:rsidRDefault="00BE108E" w:rsidP="00BE108E">
      <w:pPr>
        <w:rPr>
          <w:rFonts w:eastAsia="Calibri"/>
          <w:lang w:eastAsia="en-US"/>
        </w:rPr>
      </w:pPr>
      <w:r w:rsidRPr="00BE108E">
        <w:rPr>
          <w:rFonts w:eastAsia="Calibri"/>
          <w:lang w:eastAsia="en-US"/>
        </w:rPr>
        <w:t>В целях соблюдения миграционного законодательства произведен капитальный ремонт здания в п.г.т. Кильдинстрой для размещения специального учреждения для содержания по решению суда иностранных граждан и лиц без гражданства, подлежащих выдворению за пределы Российской Федерации.</w:t>
      </w:r>
    </w:p>
    <w:p w:rsidR="00BE108E" w:rsidRPr="00BE108E" w:rsidRDefault="00BE108E" w:rsidP="00BE108E">
      <w:r w:rsidRPr="00BE108E">
        <w:rPr>
          <w:rFonts w:eastAsia="Calibri"/>
          <w:lang w:eastAsia="en-US"/>
        </w:rPr>
        <w:t xml:space="preserve">В рамках мероприятий, направленных на </w:t>
      </w:r>
      <w:r w:rsidRPr="00BE108E">
        <w:rPr>
          <w:rFonts w:eastAsia="Calibri"/>
          <w:b/>
          <w:lang w:eastAsia="en-US"/>
        </w:rPr>
        <w:t>развитие системы профилактики правонарушений</w:t>
      </w:r>
      <w:r w:rsidRPr="00BE108E">
        <w:rPr>
          <w:rFonts w:eastAsia="Calibri"/>
          <w:lang w:eastAsia="en-US"/>
        </w:rPr>
        <w:t xml:space="preserve">, в 2014 году предоставлены субвенции 17 органам местного самоуправления на осуществление деятельности комиссий по </w:t>
      </w:r>
      <w:r w:rsidRPr="00BE108E">
        <w:rPr>
          <w:rFonts w:eastAsia="Calibri"/>
          <w:lang w:eastAsia="en-US"/>
        </w:rPr>
        <w:lastRenderedPageBreak/>
        <w:t xml:space="preserve">делам несовершеннолетних и защите их прав, которыми </w:t>
      </w:r>
      <w:r w:rsidRPr="00BE108E">
        <w:t>инициировано 536 межведомственных рейдов, организовано 217 профилактических операций и акций, в ходе которых были выявлено 1345 правонарушителей (в 2013 году – 1010 чел</w:t>
      </w:r>
      <w:r>
        <w:t>овек</w:t>
      </w:r>
      <w:r w:rsidRPr="00BE108E">
        <w:t xml:space="preserve">). Увеличение количества несовершеннолетних, привлеченных к административной ответственности, в большей мере обусловлено активизацией взаимодействия органов и учреждений системы профилактики по выявлению фактов антиобщественного поведения несовершеннолетних. </w:t>
      </w:r>
    </w:p>
    <w:p w:rsidR="00BE108E" w:rsidRPr="00BE108E" w:rsidRDefault="00BE108E" w:rsidP="00BE108E">
      <w:pPr>
        <w:rPr>
          <w:rFonts w:eastAsia="Calibri"/>
          <w:lang w:eastAsia="en-US"/>
        </w:rPr>
      </w:pPr>
      <w:r w:rsidRPr="00BE108E">
        <w:rPr>
          <w:rFonts w:eastAsia="Calibri"/>
          <w:lang w:eastAsia="en-US"/>
        </w:rPr>
        <w:t>В культурно-массовых мероприятиях, направленных на повышение уровня правовой культуры и информированности населения, приняло участие более 540 человек.</w:t>
      </w:r>
    </w:p>
    <w:p w:rsidR="00BE108E" w:rsidRPr="00BE108E" w:rsidRDefault="00BE108E" w:rsidP="00BE108E">
      <w:r w:rsidRPr="00BE108E">
        <w:rPr>
          <w:rFonts w:eastAsia="Calibri"/>
          <w:lang w:eastAsia="en-US"/>
        </w:rPr>
        <w:t xml:space="preserve">В целях </w:t>
      </w:r>
      <w:r w:rsidRPr="00BE108E">
        <w:rPr>
          <w:rFonts w:eastAsia="Calibri"/>
          <w:b/>
          <w:lang w:eastAsia="en-US"/>
        </w:rPr>
        <w:t>развития системы противопожарной безопасности</w:t>
      </w:r>
      <w:r w:rsidRPr="00BE108E">
        <w:rPr>
          <w:rFonts w:eastAsia="Calibri"/>
          <w:lang w:eastAsia="en-US"/>
        </w:rPr>
        <w:t xml:space="preserve"> </w:t>
      </w:r>
      <w:r w:rsidRPr="00BE108E">
        <w:t xml:space="preserve">продолжено оснащение пожарных частей пожарными автомобилями, средствами связи для организации и проведения тушения пожаров, пожарно-техническим вооружением, техническими средствами защиты и другим инвентарем и оборудованием для обеспечения эффективной и безопасной деятельности пожарных. Проведены ремонтные работы различного направления в 5 пожарных частях. </w:t>
      </w:r>
    </w:p>
    <w:p w:rsidR="00BE108E" w:rsidRPr="00BE108E" w:rsidRDefault="00BE108E" w:rsidP="00BE108E">
      <w:r w:rsidRPr="00BE108E">
        <w:rPr>
          <w:color w:val="000000"/>
        </w:rPr>
        <w:t>Завершена подготовка проектно-сметной документации</w:t>
      </w:r>
      <w:r w:rsidRPr="00BE108E">
        <w:t xml:space="preserve"> на р</w:t>
      </w:r>
      <w:r w:rsidRPr="00BE108E">
        <w:rPr>
          <w:color w:val="000000"/>
        </w:rPr>
        <w:t>еконструкцию здания котельной под пожарное депо в с.</w:t>
      </w:r>
      <w:r>
        <w:rPr>
          <w:color w:val="000000"/>
        </w:rPr>
        <w:t xml:space="preserve"> </w:t>
      </w:r>
      <w:r w:rsidRPr="00BE108E">
        <w:rPr>
          <w:color w:val="000000"/>
        </w:rPr>
        <w:t>Териберка и строительство пожарного депо на 4 автомобиля в п.г.т. Умба, заключен контракт со сроком исполнения в 2015 году на разработку проектно-сметной документации на реконструкцию объекта «Центр обработки вызовов системы «112»</w:t>
      </w:r>
      <w:r>
        <w:rPr>
          <w:color w:val="000000"/>
        </w:rPr>
        <w:t>»</w:t>
      </w:r>
      <w:r w:rsidRPr="00BE108E">
        <w:rPr>
          <w:color w:val="000000"/>
        </w:rPr>
        <w:t>.</w:t>
      </w:r>
      <w:r w:rsidRPr="00BE108E">
        <w:t xml:space="preserve"> </w:t>
      </w:r>
    </w:p>
    <w:p w:rsidR="00BE108E" w:rsidRPr="00BE108E" w:rsidRDefault="00BE108E" w:rsidP="00BE108E">
      <w:pPr>
        <w:rPr>
          <w:color w:val="000000"/>
        </w:rPr>
      </w:pPr>
      <w:r w:rsidRPr="00BE108E">
        <w:t xml:space="preserve">В результате реализации программных мероприятий на 7% сократилось время оперативного реагирования на пожары в 2014 году по сравнению с базовым 2012 годом (планировалось сократить на 2%). </w:t>
      </w:r>
    </w:p>
    <w:p w:rsidR="00BE108E" w:rsidRPr="00BE108E" w:rsidRDefault="00BE108E" w:rsidP="00BE108E">
      <w:r w:rsidRPr="00BE108E">
        <w:t xml:space="preserve">В рамках мероприятий, направленных на </w:t>
      </w:r>
      <w:r w:rsidRPr="00491D84">
        <w:rPr>
          <w:b/>
        </w:rPr>
        <w:t>обеспечение защиты населения и территорий от чрезвычайных ситуаций</w:t>
      </w:r>
      <w:r w:rsidRPr="00BE108E">
        <w:t xml:space="preserve">, продолжено оснащение аварийно-спасательной службы оборудованием и средствами для проведения спасательных работ, проведено обучение работников аварийно-спасательной службы и центра мониторинга и прогнозирования чрезвычайных ситуаций, осуществлялась модернизация материально-технической базы учебно-методического центра по ГО и ЧС. </w:t>
      </w:r>
    </w:p>
    <w:p w:rsidR="00BE108E" w:rsidRPr="00BE108E" w:rsidRDefault="00BE108E" w:rsidP="00BE108E">
      <w:pPr>
        <w:rPr>
          <w:bCs/>
        </w:rPr>
      </w:pPr>
      <w:r w:rsidRPr="00BE108E">
        <w:t>Продолжена работа по накоплению резерва материальных ресурсов Правительства Мурманской области и поддержанию в готовности технических устройств системы оповещения населения об опасностях, а также по развитию различных видов мониторинга для предупреждения чрезвычайных ситуаций,</w:t>
      </w:r>
      <w:r w:rsidR="00FB5C0B">
        <w:t xml:space="preserve"> </w:t>
      </w:r>
      <w:r w:rsidRPr="00BE108E">
        <w:t xml:space="preserve">в том числе </w:t>
      </w:r>
      <w:r w:rsidRPr="00BE108E">
        <w:rPr>
          <w:bCs/>
        </w:rPr>
        <w:t xml:space="preserve">расширена система радиационного контроля (организовано 2 новых поста в </w:t>
      </w:r>
      <w:r w:rsidRPr="00BE108E">
        <w:t>г.п.</w:t>
      </w:r>
      <w:r w:rsidR="00491D84">
        <w:t xml:space="preserve"> </w:t>
      </w:r>
      <w:r w:rsidRPr="00BE108E">
        <w:t>Ревда и ЗАТО Видяево)</w:t>
      </w:r>
      <w:r w:rsidRPr="00BE108E">
        <w:rPr>
          <w:bCs/>
        </w:rPr>
        <w:t>.</w:t>
      </w:r>
    </w:p>
    <w:p w:rsidR="00BE108E" w:rsidRPr="00BE108E" w:rsidRDefault="00BE108E" w:rsidP="00BE108E">
      <w:pPr>
        <w:rPr>
          <w:color w:val="000000"/>
        </w:rPr>
      </w:pPr>
      <w:r w:rsidRPr="00BE108E">
        <w:t>В отчетном году</w:t>
      </w:r>
      <w:r w:rsidRPr="00BE108E">
        <w:rPr>
          <w:color w:val="000000"/>
        </w:rPr>
        <w:t xml:space="preserve"> завершена корректировка проектно-сметной документации для проведения реконструкции региональной автоматизированной системы централизованного оповещения населения об опасностях, получено положительное заключение о достоверности сметной стоимости, выполнены работы по </w:t>
      </w:r>
      <w:r w:rsidRPr="00BE108E">
        <w:rPr>
          <w:color w:val="000000"/>
          <w:lang w:val="en-US"/>
        </w:rPr>
        <w:t>I</w:t>
      </w:r>
      <w:r w:rsidRPr="00BE108E">
        <w:rPr>
          <w:color w:val="000000"/>
        </w:rPr>
        <w:t xml:space="preserve"> этапу реконструкции в объеме 5,8 млн. рублей.</w:t>
      </w:r>
    </w:p>
    <w:p w:rsidR="00BE108E" w:rsidRPr="00BE108E" w:rsidRDefault="00BE108E" w:rsidP="00BE108E">
      <w:pPr>
        <w:rPr>
          <w:rFonts w:eastAsia="Calibri"/>
        </w:rPr>
      </w:pPr>
      <w:r w:rsidRPr="00BE108E">
        <w:rPr>
          <w:rFonts w:eastAsia="Calibri"/>
        </w:rPr>
        <w:lastRenderedPageBreak/>
        <w:t xml:space="preserve">Всего на 2014 год по государственной программе были предусмотрены к выполнению 20 показателей целей и задач, </w:t>
      </w:r>
      <w:r w:rsidR="00491D84" w:rsidRPr="00BE108E">
        <w:rPr>
          <w:color w:val="000000"/>
          <w:szCs w:val="28"/>
        </w:rPr>
        <w:t xml:space="preserve">из них низкая степень достижения отмечается по </w:t>
      </w:r>
      <w:r w:rsidR="00491D84">
        <w:rPr>
          <w:color w:val="000000"/>
          <w:szCs w:val="28"/>
        </w:rPr>
        <w:t>одному</w:t>
      </w:r>
      <w:r w:rsidR="00491D84" w:rsidRPr="00BE108E">
        <w:rPr>
          <w:color w:val="000000"/>
          <w:szCs w:val="28"/>
        </w:rPr>
        <w:t xml:space="preserve">, средняя – по </w:t>
      </w:r>
      <w:r w:rsidR="00491D84">
        <w:rPr>
          <w:color w:val="000000"/>
          <w:szCs w:val="28"/>
        </w:rPr>
        <w:t>6 показателям</w:t>
      </w:r>
      <w:r w:rsidR="00491D84" w:rsidRPr="00BE108E">
        <w:rPr>
          <w:color w:val="000000"/>
          <w:szCs w:val="28"/>
        </w:rPr>
        <w:t xml:space="preserve">, высокая – по </w:t>
      </w:r>
      <w:r w:rsidR="00491D84">
        <w:rPr>
          <w:color w:val="000000"/>
          <w:szCs w:val="28"/>
        </w:rPr>
        <w:t>12</w:t>
      </w:r>
      <w:r w:rsidR="00491D84" w:rsidRPr="00BE108E">
        <w:rPr>
          <w:color w:val="000000"/>
          <w:szCs w:val="28"/>
        </w:rPr>
        <w:t xml:space="preserve">, </w:t>
      </w:r>
      <w:r w:rsidR="00491D84">
        <w:rPr>
          <w:color w:val="000000"/>
          <w:szCs w:val="28"/>
        </w:rPr>
        <w:t>один</w:t>
      </w:r>
      <w:r w:rsidR="00491D84" w:rsidRPr="00BE108E">
        <w:rPr>
          <w:color w:val="000000"/>
          <w:szCs w:val="28"/>
        </w:rPr>
        <w:t xml:space="preserve"> показател</w:t>
      </w:r>
      <w:r w:rsidR="00491D84">
        <w:rPr>
          <w:color w:val="000000"/>
          <w:szCs w:val="28"/>
        </w:rPr>
        <w:t>ь существенно перевыполнен.</w:t>
      </w:r>
      <w:r w:rsidRPr="00BE108E">
        <w:rPr>
          <w:rFonts w:eastAsia="Calibri"/>
        </w:rPr>
        <w:t xml:space="preserve"> </w:t>
      </w:r>
      <w:r w:rsidR="00491D84">
        <w:rPr>
          <w:rFonts w:eastAsia="Calibri"/>
        </w:rPr>
        <w:t>С</w:t>
      </w:r>
      <w:r w:rsidRPr="00BE108E">
        <w:rPr>
          <w:rFonts w:eastAsia="Calibri"/>
        </w:rPr>
        <w:t>редняя степень достижения показателей программы составила 174,4</w:t>
      </w:r>
      <w:r w:rsidR="00FB5C0B">
        <w:rPr>
          <w:rFonts w:eastAsia="Calibri"/>
        </w:rPr>
        <w:t>%</w:t>
      </w:r>
      <w:r w:rsidRPr="00BE108E">
        <w:rPr>
          <w:rFonts w:eastAsia="Calibri"/>
        </w:rPr>
        <w:t>. Значительное перевыполнение обусловлено сложностью прогнозирования значений отдельных показателей.</w:t>
      </w:r>
    </w:p>
    <w:p w:rsidR="00BE108E" w:rsidRPr="00BE108E" w:rsidRDefault="00BE108E" w:rsidP="00BE108E">
      <w:r w:rsidRPr="00BE108E">
        <w:rPr>
          <w:rFonts w:eastAsia="Calibri"/>
        </w:rPr>
        <w:t>В результате оценки реализации госпрограммы за 2014 год, осуществленной исходя из четырех установленных критериев, и с учетом превышения порогового значения одного из целевых показателей, определен средний</w:t>
      </w:r>
      <w:r w:rsidRPr="00BE108E">
        <w:t xml:space="preserve"> уровень эффективности реализации</w:t>
      </w:r>
      <w:r w:rsidRPr="00BE108E">
        <w:rPr>
          <w:rFonts w:eastAsia="Calibri"/>
        </w:rPr>
        <w:t xml:space="preserve"> государственной программы</w:t>
      </w:r>
      <w:r w:rsidRPr="00BE108E">
        <w:t>.</w:t>
      </w:r>
    </w:p>
    <w:p w:rsidR="00BE108E" w:rsidRPr="00BE108E" w:rsidRDefault="00BE108E" w:rsidP="00491D84"/>
    <w:p w:rsidR="004F1ACD" w:rsidRPr="00BE108E" w:rsidRDefault="004F1ACD" w:rsidP="004F1ACD">
      <w:pPr>
        <w:pStyle w:val="1"/>
      </w:pPr>
      <w:r w:rsidRPr="00BE108E">
        <w:t xml:space="preserve">Государственная программа 10 «Охрана окружающей среды и воспроизводство природных ресурсов» </w:t>
      </w:r>
    </w:p>
    <w:p w:rsidR="00D064E3" w:rsidRPr="00BE108E" w:rsidRDefault="00D064E3" w:rsidP="00D064E3">
      <w:pPr>
        <w:pStyle w:val="ConsPlusCell"/>
        <w:ind w:firstLine="709"/>
        <w:jc w:val="both"/>
        <w:rPr>
          <w:rStyle w:val="FontStyle14"/>
          <w:sz w:val="28"/>
          <w:szCs w:val="28"/>
        </w:rPr>
      </w:pPr>
    </w:p>
    <w:p w:rsidR="00D064E3" w:rsidRDefault="00D064E3" w:rsidP="00D064E3">
      <w:pPr>
        <w:pStyle w:val="ConsPlusCell"/>
        <w:jc w:val="both"/>
        <w:rPr>
          <w:noProof/>
        </w:rPr>
      </w:pPr>
      <w:r w:rsidRPr="00BE108E">
        <w:rPr>
          <w:noProof/>
        </w:rPr>
        <w:drawing>
          <wp:inline distT="0" distB="0" distL="0" distR="0">
            <wp:extent cx="2498652" cy="3274828"/>
            <wp:effectExtent l="0" t="0" r="16510" b="20955"/>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BE108E">
        <w:rPr>
          <w:noProof/>
        </w:rPr>
        <w:t xml:space="preserve"> </w:t>
      </w:r>
      <w:r w:rsidRPr="00BE108E">
        <w:rPr>
          <w:noProof/>
        </w:rPr>
        <w:drawing>
          <wp:inline distT="0" distB="0" distL="0" distR="0">
            <wp:extent cx="3530010" cy="3274828"/>
            <wp:effectExtent l="0" t="0" r="13335" b="20955"/>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13F31" w:rsidRDefault="00C13F31" w:rsidP="00C13F31">
      <w:pPr>
        <w:ind w:firstLine="0"/>
        <w:jc w:val="center"/>
        <w:rPr>
          <w:sz w:val="24"/>
        </w:rPr>
      </w:pPr>
      <w:r w:rsidRPr="00C13F31">
        <w:rPr>
          <w:sz w:val="24"/>
        </w:rPr>
        <w:t xml:space="preserve">Рисунок </w:t>
      </w:r>
      <w:r w:rsidR="005C639B">
        <w:rPr>
          <w:sz w:val="24"/>
        </w:rPr>
        <w:t>14</w:t>
      </w:r>
    </w:p>
    <w:p w:rsidR="004F1ACD" w:rsidRPr="00BE108E" w:rsidRDefault="004F1ACD" w:rsidP="004F1ACD"/>
    <w:p w:rsidR="004F1ACD" w:rsidRPr="00BE108E" w:rsidRDefault="004F1ACD" w:rsidP="004F1ACD">
      <w:r w:rsidRPr="00BE108E">
        <w:t>На реализацию госпрограммы в 2014 году за счет всех источников финансирования предусматривалось 416,5 млн. рублей. Общая сумма расходов составила 401,7 млн. рублей (96,4% от запланированного объема), в том числе за счет средств областного бюджета 140,2 млн. рублей (94,5%), федерального – 219,5 млн. рублей (97,8%), местных бюджетов – 9 млн. рублей (55,8%), средства внебюджетных источников финансирования привлечены в объеме порядка 33 млн. рублей, что на 19,7% больше запланированного уровня.</w:t>
      </w:r>
    </w:p>
    <w:p w:rsidR="004F1ACD" w:rsidRPr="00BE108E" w:rsidRDefault="004F1ACD" w:rsidP="004F1ACD">
      <w:r w:rsidRPr="00BE108E">
        <w:t xml:space="preserve">С целью </w:t>
      </w:r>
      <w:r w:rsidR="006C28BD" w:rsidRPr="00BE108E">
        <w:rPr>
          <w:b/>
        </w:rPr>
        <w:t>предотвращения негативного воздействия хозяйственной и иной деятельности на природную среду региона</w:t>
      </w:r>
      <w:r w:rsidRPr="00BE108E">
        <w:t xml:space="preserve"> </w:t>
      </w:r>
      <w:r w:rsidR="00A47E58" w:rsidRPr="00BE108E">
        <w:t xml:space="preserve">в части </w:t>
      </w:r>
      <w:r w:rsidRPr="00BE108E">
        <w:t xml:space="preserve">ограничения и предупреждения негативного воздействия на атмосферный воздух в 2014 году осуществлялся мониторинг атмосферного воздуха в промышленных центрах Мурманской области, проведена оценка воздействия выбросов вредных (загрязняющих) веществ в атмосферный воздух на состояние окружающей </w:t>
      </w:r>
      <w:r w:rsidRPr="00BE108E">
        <w:lastRenderedPageBreak/>
        <w:t xml:space="preserve">среды отдельных территорий, изготовлены и установлены автоматизированные информационно-измерительные комплексы непрерывного контроля диоксида серы, оксида-диоксида азота в г. Заполярный, г.п. Никель. </w:t>
      </w:r>
    </w:p>
    <w:p w:rsidR="004F1ACD" w:rsidRPr="00BE108E" w:rsidRDefault="004F1ACD" w:rsidP="004F1ACD">
      <w:r w:rsidRPr="00BE108E">
        <w:t>Для сохранения биологического разнообразия на территории Мурманской области проводилась работа по созданию новых и реорганизации существующих особо охраняемых природных территорий (далее – ООПТ). В 2014 году создано 2 новых ООПТ. На конец отчетного периода доля площади Мурманской области, занятая ООПТ регионального значения</w:t>
      </w:r>
      <w:r w:rsidR="00A47E58" w:rsidRPr="00BE108E">
        <w:t>,</w:t>
      </w:r>
      <w:r w:rsidRPr="00BE108E">
        <w:t xml:space="preserve"> составила 7,71</w:t>
      </w:r>
      <w:r w:rsidR="00FB5C0B">
        <w:t>%</w:t>
      </w:r>
      <w:r w:rsidRPr="00BE108E">
        <w:t xml:space="preserve"> (по плану 6,09%).</w:t>
      </w:r>
    </w:p>
    <w:p w:rsidR="004F1ACD" w:rsidRPr="00BE108E" w:rsidRDefault="004F1ACD" w:rsidP="004F1ACD">
      <w:r w:rsidRPr="00BE108E">
        <w:t>Разработан и функционирует электронный кадастр редких и находящихся под угрозой исчезновения объектов растительного и животного мира Мурманской области, подготовлена и издана тиражом 2 тыс. экз</w:t>
      </w:r>
      <w:r w:rsidR="00A47E58" w:rsidRPr="00BE108E">
        <w:t>емпляров</w:t>
      </w:r>
      <w:r w:rsidRPr="00BE108E">
        <w:t xml:space="preserve"> Красная книга Мурманской области. Вместе с тем, по причине существенных нарушений исполнителем условий контракта в 2014 году не проведен мониторинг объектов растительного и животного мира, занесенных в Красную книгу Мурманской области (соответствующий целевой показатель программы не выполнен). </w:t>
      </w:r>
    </w:p>
    <w:p w:rsidR="004F1ACD" w:rsidRPr="00BE108E" w:rsidRDefault="004F1ACD" w:rsidP="004F1ACD">
      <w:r w:rsidRPr="00BE108E">
        <w:t>В мероприятиях по</w:t>
      </w:r>
      <w:r w:rsidRPr="00BE108E">
        <w:rPr>
          <w:b/>
        </w:rPr>
        <w:t xml:space="preserve"> </w:t>
      </w:r>
      <w:r w:rsidRPr="00BE108E">
        <w:t>экологическому образованию и формированию экологической культуры</w:t>
      </w:r>
      <w:r w:rsidRPr="00BE108E">
        <w:rPr>
          <w:b/>
        </w:rPr>
        <w:t xml:space="preserve"> </w:t>
      </w:r>
      <w:r w:rsidRPr="00BE108E">
        <w:t>приняли участие 23 тыс. человек.</w:t>
      </w:r>
    </w:p>
    <w:p w:rsidR="004F1ACD" w:rsidRPr="00BE108E" w:rsidRDefault="004F1ACD" w:rsidP="004F1ACD">
      <w:pPr>
        <w:rPr>
          <w:rFonts w:eastAsia="Calibri"/>
        </w:rPr>
      </w:pPr>
      <w:r w:rsidRPr="00BE108E">
        <w:t>В рамках</w:t>
      </w:r>
      <w:r w:rsidRPr="00BE108E">
        <w:rPr>
          <w:b/>
        </w:rPr>
        <w:t xml:space="preserve"> </w:t>
      </w:r>
      <w:r w:rsidRPr="00BE108E">
        <w:t>оптимизации системы обращения с отходами: оборудовано 11 контейнерных площадок, в</w:t>
      </w:r>
      <w:r w:rsidRPr="00BE108E">
        <w:rPr>
          <w:rFonts w:eastAsia="Calibri"/>
        </w:rPr>
        <w:t>ыполнены, предусмотренные на 2014 год, работы по созданию системы переработки и утилизации (захоронения) твердых бытовых отходов на территории Мурманской области на основе концессионного соглашения,</w:t>
      </w:r>
      <w:r w:rsidRPr="00BE108E">
        <w:t xml:space="preserve"> началось строительство </w:t>
      </w:r>
      <w:r w:rsidRPr="00BE108E">
        <w:rPr>
          <w:rFonts w:eastAsia="Calibri"/>
        </w:rPr>
        <w:t>компакторной площадки для перегрузки твердых бытовых отходов в с.п. Алакуртти,</w:t>
      </w:r>
      <w:r w:rsidRPr="00BE108E">
        <w:t xml:space="preserve"> приобретены 180 мусорных контейнеров</w:t>
      </w:r>
      <w:r w:rsidRPr="00BE108E">
        <w:rPr>
          <w:rFonts w:eastAsia="Calibri"/>
        </w:rPr>
        <w:t xml:space="preserve">. </w:t>
      </w:r>
      <w:r w:rsidRPr="00BE108E">
        <w:t>Проведенные мероприятия способствовали увеличению у</w:t>
      </w:r>
      <w:r w:rsidRPr="00BE108E">
        <w:rPr>
          <w:rFonts w:eastAsia="Calibri"/>
        </w:rPr>
        <w:t>ровня технической обеспеченности системы сбора и транспортировки твердых бытовых отходов на территориях муниципальных образований Мурманской области до 89,3% (план – 87,2%).</w:t>
      </w:r>
    </w:p>
    <w:p w:rsidR="006C28BD" w:rsidRPr="00BE108E" w:rsidRDefault="006C28BD" w:rsidP="006C28BD">
      <w:r w:rsidRPr="00BE108E">
        <w:t>Для проведения мероприятий по</w:t>
      </w:r>
      <w:r w:rsidRPr="00BE108E">
        <w:rPr>
          <w:b/>
        </w:rPr>
        <w:t xml:space="preserve"> </w:t>
      </w:r>
      <w:r w:rsidRPr="00BE108E">
        <w:t xml:space="preserve">ликвидации накопленного экологического ущерба предоставлены субсидии бюджетам муниципальных образований. В результате ликвидированы 19 несанкционированных свалок. Однако площадь несанкционированных свалок, на ликвидацию которых по результатам конкурсного отбора предоставлены субсидии муниципальным образованиям, сложилась меньше, чем ожидалось, в связи с чем не достигнуты два целевых показателя программы. </w:t>
      </w:r>
    </w:p>
    <w:p w:rsidR="004F1ACD" w:rsidRPr="00BE108E" w:rsidRDefault="004F1ACD" w:rsidP="004F1ACD">
      <w:r w:rsidRPr="00BE108E">
        <w:t xml:space="preserve">В целях </w:t>
      </w:r>
      <w:r w:rsidR="006C28BD" w:rsidRPr="00BE108E">
        <w:rPr>
          <w:b/>
        </w:rPr>
        <w:t xml:space="preserve">охраны, защиты и воспроизводства лесов </w:t>
      </w:r>
      <w:r w:rsidRPr="00BE108E">
        <w:t xml:space="preserve">в 2014 году было благоустроено 33 зоны отдыха граждан, пребывающих в лесах, установлено 150 стендов и других информационных знаков и указателей, 5 шлагбаумов и преград, обеспечивающих ограничение пребывания граждан в лесах. Данные меры способствовали сокращению доли лесных пожаров, возникших по вине граждан до 24,7% (в 2013 году 77,6%). </w:t>
      </w:r>
    </w:p>
    <w:p w:rsidR="004F1ACD" w:rsidRPr="00BE108E" w:rsidRDefault="004F1ACD" w:rsidP="004F1ACD">
      <w:r w:rsidRPr="00BE108E">
        <w:t xml:space="preserve">В 2014 году созданы 136,3 км противопожарных минерализованных полос, проведена их прочистка и обновление (227,3 км), повышена оснащенность специализированных организаций техникой и противопожарным </w:t>
      </w:r>
      <w:r w:rsidRPr="00BE108E">
        <w:lastRenderedPageBreak/>
        <w:t>оборудованием и инвентар</w:t>
      </w:r>
      <w:r w:rsidR="00FB5C0B">
        <w:t>е</w:t>
      </w:r>
      <w:r w:rsidRPr="00BE108E">
        <w:t xml:space="preserve">м, своевременно осуществлялся мониторинг пожарной ситуации в лесах. Благодаря проведенным мероприятиям удалось снизить по сравнению с предыдущим годом среднее время ликвидации одного пожара, возросла доля лесных пожаров, ликвидированных в течение первых суток с момента обнаружения, не допущены крупные лесные пожары. </w:t>
      </w:r>
    </w:p>
    <w:p w:rsidR="004F1ACD" w:rsidRPr="00BE108E" w:rsidRDefault="004F1ACD" w:rsidP="004F1ACD">
      <w:r w:rsidRPr="00BE108E">
        <w:t xml:space="preserve"> Всего в течение пожароопасного сезона 2014 года в лесном фонде на территории Мурманской области ликвидирован 81 лесной пожар на площади 1358,9 </w:t>
      </w:r>
      <w:r w:rsidRPr="00BE108E">
        <w:rPr>
          <w:bCs/>
        </w:rPr>
        <w:t>га (в 2013 году - 214 пожаров на площади 1921 га).</w:t>
      </w:r>
      <w:r w:rsidRPr="00BE108E">
        <w:t xml:space="preserve"> </w:t>
      </w:r>
    </w:p>
    <w:p w:rsidR="004F1ACD" w:rsidRPr="00BE108E" w:rsidRDefault="004F1ACD" w:rsidP="004F1ACD">
      <w:pPr>
        <w:rPr>
          <w:color w:val="FF0000"/>
        </w:rPr>
      </w:pPr>
      <w:r w:rsidRPr="00BE108E">
        <w:t>В рамках мероприятий по защите лесов, предотвращения появления очагов болезней и вредителей леса</w:t>
      </w:r>
      <w:r w:rsidRPr="00BE108E">
        <w:rPr>
          <w:b/>
        </w:rPr>
        <w:t xml:space="preserve"> </w:t>
      </w:r>
      <w:r w:rsidRPr="00BE108E">
        <w:t>сплошные санитарные рубки выполнены на площади 151,8 га, выборочные санитарные рубки выполнены на площади 632,4 га, проведены очистка лесных насаждений (78,2 га) и лесопатологическое обследование (2000</w:t>
      </w:r>
      <w:r w:rsidRPr="00BE108E">
        <w:rPr>
          <w:lang w:val="en-US"/>
        </w:rPr>
        <w:t> </w:t>
      </w:r>
      <w:r w:rsidRPr="00BE108E">
        <w:t xml:space="preserve">га). Удаленность (труднодоступность) расстроенных насаждений и рост их площади, а также низкий спрос на древесину, подлежащую заготовке в расстроенных насаждениях, </w:t>
      </w:r>
      <w:r w:rsidR="00A85FBF">
        <w:t xml:space="preserve">негативно </w:t>
      </w:r>
      <w:r w:rsidRPr="00BE108E">
        <w:t>повлияли на сложившиеся значения двух показателей госпрограммы, учитывающих площадь проведенных санитарно-оздоровительных мероприятий.</w:t>
      </w:r>
    </w:p>
    <w:p w:rsidR="004F1ACD" w:rsidRPr="00BE108E" w:rsidRDefault="004F1ACD" w:rsidP="004F1ACD">
      <w:pPr>
        <w:rPr>
          <w:color w:val="FF0000"/>
        </w:rPr>
      </w:pPr>
      <w:r w:rsidRPr="00BE108E">
        <w:t>В рамках работ по воспроизводству лесных ресурсов в 2014 году созданы лесные культуры на площади 559,4 га, проведены агротехнический уход за лесными культурами (298 га), уход за лесами (707,2 га), осуществлено содействие естественному возобновлению лесов (1043,9 га), подготовлены почвы под лесные культуры (441,7 га). Из-за плохого урожая семян на территории Мурманской области не осуществлялась заготовка семян с улучшенными наследственными свойствами, в связи с чем не достигнуты 2 показателя госпрограммы, отражающие данную деятельность.</w:t>
      </w:r>
    </w:p>
    <w:p w:rsidR="004F1ACD" w:rsidRPr="00BE108E" w:rsidRDefault="004F1ACD" w:rsidP="004F1ACD">
      <w:r w:rsidRPr="00BE108E">
        <w:t>В целях создания условий для рационального и эффективного использования лесов</w:t>
      </w:r>
      <w:r w:rsidRPr="00BE108E">
        <w:rPr>
          <w:b/>
        </w:rPr>
        <w:t xml:space="preserve"> </w:t>
      </w:r>
      <w:r w:rsidRPr="00BE108E">
        <w:t>в 2014 году проведены отвод и таксация лесосек на площади 2932,9 га, актуализированы лесной план Мурманской области и лесохозяйственные регламенты. Не выполнен целевой показатель по доле площади земель лесного фонда, переданных в аренду, в общей площади земель лесного фонда, сложившийся на уровне 30,9% вместо запланированных 43,7%, в связи с расторжением договора аренды лесного участка площадью 672,2 тыс.</w:t>
      </w:r>
      <w:r w:rsidR="00B802D6">
        <w:t xml:space="preserve"> </w:t>
      </w:r>
      <w:r w:rsidRPr="00BE108E">
        <w:t xml:space="preserve">га. </w:t>
      </w:r>
    </w:p>
    <w:p w:rsidR="004F1ACD" w:rsidRPr="00BE108E" w:rsidRDefault="004F1ACD" w:rsidP="004F1ACD">
      <w:pPr>
        <w:rPr>
          <w:rFonts w:eastAsia="Calibri"/>
        </w:rPr>
      </w:pPr>
      <w:r w:rsidRPr="00BE108E">
        <w:rPr>
          <w:rFonts w:eastAsia="Calibri"/>
        </w:rPr>
        <w:t xml:space="preserve">В рамках мероприятий </w:t>
      </w:r>
      <w:r w:rsidRPr="00BE108E">
        <w:rPr>
          <w:rFonts w:eastAsia="Calibri"/>
          <w:b/>
        </w:rPr>
        <w:t>по сохранению и</w:t>
      </w:r>
      <w:r w:rsidRPr="00BE108E">
        <w:rPr>
          <w:rFonts w:eastAsia="Calibri"/>
        </w:rPr>
        <w:t xml:space="preserve"> </w:t>
      </w:r>
      <w:r w:rsidRPr="00BE108E">
        <w:rPr>
          <w:rFonts w:eastAsia="Calibri"/>
          <w:b/>
        </w:rPr>
        <w:t>восстановлению водных объектов</w:t>
      </w:r>
      <w:r w:rsidR="006C28BD" w:rsidRPr="00BE108E">
        <w:rPr>
          <w:rFonts w:eastAsia="Calibri"/>
          <w:b/>
        </w:rPr>
        <w:t>, а также</w:t>
      </w:r>
      <w:r w:rsidRPr="00BE108E">
        <w:rPr>
          <w:rFonts w:eastAsia="Calibri"/>
        </w:rPr>
        <w:t xml:space="preserve"> </w:t>
      </w:r>
      <w:r w:rsidR="006C28BD" w:rsidRPr="00BE108E">
        <w:rPr>
          <w:rFonts w:eastAsia="Calibri"/>
          <w:b/>
        </w:rPr>
        <w:t>предупреждению негативного воздействия вод</w:t>
      </w:r>
      <w:r w:rsidR="006C28BD" w:rsidRPr="00BE108E">
        <w:rPr>
          <w:rFonts w:eastAsia="Calibri"/>
        </w:rPr>
        <w:t xml:space="preserve"> </w:t>
      </w:r>
      <w:r w:rsidRPr="00BE108E">
        <w:rPr>
          <w:rFonts w:eastAsia="Calibri"/>
        </w:rPr>
        <w:t>осуществлены работы по предотвращению истощения, ликвидации загрязнения и засорения озера Глубокое на площади 7 тыс.</w:t>
      </w:r>
      <w:r w:rsidR="00B802D6">
        <w:rPr>
          <w:rFonts w:eastAsia="Calibri"/>
        </w:rPr>
        <w:t xml:space="preserve"> </w:t>
      </w:r>
      <w:r w:rsidRPr="00BE108E">
        <w:rPr>
          <w:rFonts w:eastAsia="Calibri"/>
        </w:rPr>
        <w:t>кв.</w:t>
      </w:r>
      <w:r w:rsidR="00B802D6">
        <w:rPr>
          <w:rFonts w:eastAsia="Calibri"/>
        </w:rPr>
        <w:t xml:space="preserve"> </w:t>
      </w:r>
      <w:r w:rsidRPr="00BE108E">
        <w:rPr>
          <w:rFonts w:eastAsia="Calibri"/>
        </w:rPr>
        <w:t xml:space="preserve">м, рек Вирма и Сайда на участках, общей протяженностью 2,7 км. Разработана проектно-сметная документация на проведение таких работ на реке Малая </w:t>
      </w:r>
      <w:proofErr w:type="spellStart"/>
      <w:r w:rsidRPr="00BE108E">
        <w:rPr>
          <w:rFonts w:eastAsia="Calibri"/>
        </w:rPr>
        <w:t>Лавна</w:t>
      </w:r>
      <w:proofErr w:type="spellEnd"/>
      <w:r w:rsidRPr="00BE108E">
        <w:rPr>
          <w:rFonts w:eastAsia="Calibri"/>
        </w:rPr>
        <w:t>.</w:t>
      </w:r>
    </w:p>
    <w:p w:rsidR="004F1ACD" w:rsidRPr="00BE108E" w:rsidRDefault="006C28BD" w:rsidP="004F1ACD">
      <w:pPr>
        <w:rPr>
          <w:rFonts w:eastAsia="Calibri"/>
        </w:rPr>
      </w:pPr>
      <w:r w:rsidRPr="00BE108E">
        <w:rPr>
          <w:rFonts w:eastAsia="Calibri"/>
        </w:rPr>
        <w:t>О</w:t>
      </w:r>
      <w:r w:rsidR="004F1ACD" w:rsidRPr="00BE108E">
        <w:rPr>
          <w:rFonts w:eastAsia="Calibri"/>
        </w:rPr>
        <w:t>существлен мониторинг поверхностных водных объектов, разработана проектно-сметная</w:t>
      </w:r>
      <w:r w:rsidR="004F1ACD" w:rsidRPr="00BE108E">
        <w:rPr>
          <w:rFonts w:eastAsia="Calibri"/>
          <w:color w:val="FF0000"/>
        </w:rPr>
        <w:t xml:space="preserve"> </w:t>
      </w:r>
      <w:r w:rsidR="004F1ACD" w:rsidRPr="00BE108E">
        <w:rPr>
          <w:rFonts w:eastAsia="Calibri"/>
        </w:rPr>
        <w:t>документации на реконструкцию водоподпорной плотины на р. Воронья.</w:t>
      </w:r>
    </w:p>
    <w:p w:rsidR="004F1ACD" w:rsidRPr="00BE108E" w:rsidRDefault="004F1ACD" w:rsidP="004F1ACD">
      <w:r w:rsidRPr="00BE108E">
        <w:t>В сфере</w:t>
      </w:r>
      <w:r w:rsidRPr="00BE108E">
        <w:rPr>
          <w:b/>
        </w:rPr>
        <w:t xml:space="preserve"> охоты, сохранения охотничьих ресурсов и среды их обитания</w:t>
      </w:r>
      <w:r w:rsidRPr="00BE108E">
        <w:t xml:space="preserve"> установленный целевой показатель по численности основных видов </w:t>
      </w:r>
      <w:r w:rsidRPr="00BE108E">
        <w:lastRenderedPageBreak/>
        <w:t xml:space="preserve">охотничьих ресурсов (лось, дикий северный олень, бурый медведь) превысил плановое значение и уровень прошлого года на 7%. </w:t>
      </w:r>
    </w:p>
    <w:p w:rsidR="004F1ACD" w:rsidRPr="00BE108E" w:rsidRDefault="004F1ACD" w:rsidP="004F1ACD">
      <w:pPr>
        <w:rPr>
          <w:rFonts w:eastAsia="Calibri"/>
          <w:lang w:eastAsia="en-US"/>
        </w:rPr>
      </w:pPr>
      <w:r w:rsidRPr="00BE108E">
        <w:rPr>
          <w:rFonts w:eastAsia="Calibri"/>
          <w:lang w:eastAsia="en-US"/>
        </w:rPr>
        <w:t xml:space="preserve">Всего из 36 показателей, предусмотренных государственной программой на 2014 год, не выполнены </w:t>
      </w:r>
      <w:r w:rsidR="006C28BD" w:rsidRPr="00BE108E">
        <w:rPr>
          <w:rFonts w:eastAsia="Calibri"/>
          <w:lang w:eastAsia="en-US"/>
        </w:rPr>
        <w:t>8</w:t>
      </w:r>
      <w:r w:rsidRPr="00BE108E">
        <w:rPr>
          <w:rFonts w:eastAsia="Calibri"/>
          <w:lang w:eastAsia="en-US"/>
        </w:rPr>
        <w:t>. Существенно перевыполнены 4 показателя (от 163% до 675</w:t>
      </w:r>
      <w:r w:rsidR="00FB5C0B">
        <w:rPr>
          <w:rFonts w:eastAsia="Calibri"/>
          <w:lang w:eastAsia="en-US"/>
        </w:rPr>
        <w:t>%</w:t>
      </w:r>
      <w:r w:rsidRPr="00BE108E">
        <w:rPr>
          <w:rFonts w:eastAsia="Calibri"/>
          <w:lang w:eastAsia="en-US"/>
        </w:rPr>
        <w:t>), что связано с недостатками планирования и прогнозирования их значений, благодаря чему средняя степень достижения показателей государственной программы составила 119,7%.</w:t>
      </w:r>
    </w:p>
    <w:p w:rsidR="004F1ACD" w:rsidRPr="00BE108E" w:rsidRDefault="004F1ACD" w:rsidP="004F1ACD">
      <w:r w:rsidRPr="00BE108E">
        <w:rPr>
          <w:rFonts w:eastAsia="Calibri"/>
          <w:lang w:eastAsia="en-US"/>
        </w:rPr>
        <w:t xml:space="preserve">Интегральный показатель эффективности реализации государственной программы с учетом степени реализации мероприятий, достижения целевых показателей и освоения финансового обеспечения госпрограммы составил 93,1%, что свидетельствует об </w:t>
      </w:r>
      <w:r w:rsidRPr="00BE108E">
        <w:t>удовлетворительном уровне эффективности.</w:t>
      </w:r>
    </w:p>
    <w:p w:rsidR="00D25B2F" w:rsidRPr="00BE108E" w:rsidRDefault="00D25B2F" w:rsidP="006C28BD">
      <w:pPr>
        <w:pStyle w:val="ConsPlusCell"/>
        <w:jc w:val="both"/>
        <w:rPr>
          <w:rStyle w:val="FontStyle14"/>
          <w:sz w:val="28"/>
          <w:szCs w:val="28"/>
        </w:rPr>
      </w:pPr>
    </w:p>
    <w:p w:rsidR="00205D63" w:rsidRPr="00BE108E" w:rsidRDefault="00205D63" w:rsidP="00205D63">
      <w:pPr>
        <w:pStyle w:val="1"/>
      </w:pPr>
      <w:r w:rsidRPr="00BE108E">
        <w:t xml:space="preserve">Государственная программа 11 «Развитие рыбохозяйственного комплекса» </w:t>
      </w:r>
    </w:p>
    <w:p w:rsidR="00D064E3" w:rsidRPr="00BE108E" w:rsidRDefault="00D064E3" w:rsidP="00D064E3">
      <w:pPr>
        <w:pStyle w:val="ConsPlusCell"/>
        <w:ind w:firstLine="709"/>
        <w:jc w:val="both"/>
        <w:rPr>
          <w:rStyle w:val="FontStyle14"/>
          <w:sz w:val="28"/>
          <w:szCs w:val="28"/>
        </w:rPr>
      </w:pPr>
    </w:p>
    <w:p w:rsidR="00D064E3" w:rsidRPr="00BE108E" w:rsidRDefault="00D064E3" w:rsidP="00D064E3">
      <w:pPr>
        <w:pStyle w:val="ConsPlusCell"/>
        <w:jc w:val="both"/>
        <w:rPr>
          <w:rStyle w:val="FontStyle14"/>
          <w:sz w:val="28"/>
          <w:szCs w:val="28"/>
        </w:rPr>
      </w:pPr>
      <w:r w:rsidRPr="00BE108E">
        <w:rPr>
          <w:noProof/>
        </w:rPr>
        <w:drawing>
          <wp:inline distT="0" distB="0" distL="0" distR="0">
            <wp:extent cx="2530549" cy="3285461"/>
            <wp:effectExtent l="0" t="0" r="22225" b="1079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rStyle w:val="FontStyle14"/>
          <w:sz w:val="28"/>
          <w:szCs w:val="28"/>
        </w:rPr>
        <w:t xml:space="preserve"> </w:t>
      </w:r>
      <w:r w:rsidRPr="00BE108E">
        <w:rPr>
          <w:noProof/>
        </w:rPr>
        <w:drawing>
          <wp:inline distT="0" distB="0" distL="0" distR="0">
            <wp:extent cx="3487479" cy="3285461"/>
            <wp:effectExtent l="0" t="0" r="17780" b="1079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13F31" w:rsidRDefault="00C13F31" w:rsidP="00C13F31">
      <w:pPr>
        <w:ind w:firstLine="0"/>
        <w:jc w:val="center"/>
        <w:rPr>
          <w:sz w:val="24"/>
        </w:rPr>
      </w:pPr>
      <w:r w:rsidRPr="00C13F31">
        <w:rPr>
          <w:sz w:val="24"/>
        </w:rPr>
        <w:t xml:space="preserve">Рисунок </w:t>
      </w:r>
      <w:r w:rsidR="005C639B">
        <w:rPr>
          <w:sz w:val="24"/>
        </w:rPr>
        <w:t>15</w:t>
      </w:r>
    </w:p>
    <w:p w:rsidR="00205D63" w:rsidRPr="00BE108E" w:rsidRDefault="00205D63" w:rsidP="00205D63"/>
    <w:p w:rsidR="00205D63" w:rsidRPr="00BE108E" w:rsidRDefault="00205D63" w:rsidP="00205D63">
      <w:r w:rsidRPr="00BE108E">
        <w:t xml:space="preserve">Общий объем финансирования, запланированный на реализацию государственной программы, составил 3 751,8 млн. рублей. </w:t>
      </w:r>
    </w:p>
    <w:p w:rsidR="00205D63" w:rsidRPr="00BE108E" w:rsidRDefault="00205D63" w:rsidP="00205D63">
      <w:r w:rsidRPr="00BE108E">
        <w:rPr>
          <w:color w:val="000000"/>
        </w:rPr>
        <w:t>Общая сумма расходов за 2014 год составила 3 656,3 млн. рублей</w:t>
      </w:r>
      <w:r w:rsidRPr="00BE108E">
        <w:t xml:space="preserve"> (степень освоения – 97,5</w:t>
      </w:r>
      <w:r w:rsidR="00FB5C0B">
        <w:t>%</w:t>
      </w:r>
      <w:r w:rsidRPr="00BE108E">
        <w:t xml:space="preserve"> от предусмотренного объема), в том числе за счет средств областного бюджета – 32 млн. рублей (99</w:t>
      </w:r>
      <w:r w:rsidR="00FB5C0B">
        <w:t>%</w:t>
      </w:r>
      <w:r w:rsidRPr="00BE108E">
        <w:t>), федерального бюджета – 35,5 млн. рублей (99,2</w:t>
      </w:r>
      <w:r w:rsidR="00FB5C0B">
        <w:t>%</w:t>
      </w:r>
      <w:r w:rsidRPr="00BE108E">
        <w:t>) и средств внебюджетных источников – 3 588,8 млн. рублей (97,4</w:t>
      </w:r>
      <w:r w:rsidR="00FB5C0B">
        <w:t>%</w:t>
      </w:r>
      <w:r w:rsidRPr="00BE108E">
        <w:t xml:space="preserve">). </w:t>
      </w:r>
    </w:p>
    <w:p w:rsidR="005C639B" w:rsidRPr="00BE108E" w:rsidRDefault="00205D63" w:rsidP="005C639B">
      <w:r w:rsidRPr="00BE108E">
        <w:rPr>
          <w:rFonts w:eastAsia="Times New Roman"/>
        </w:rPr>
        <w:t xml:space="preserve">В целях </w:t>
      </w:r>
      <w:r w:rsidRPr="00BE108E">
        <w:rPr>
          <w:rFonts w:eastAsia="Times New Roman"/>
          <w:b/>
        </w:rPr>
        <w:t xml:space="preserve">организации рыболовства и реализации рыбохозяйственной политики </w:t>
      </w:r>
      <w:r w:rsidR="005C639B" w:rsidRPr="00BE108E">
        <w:t>22 пользователя наделены квотами добычи для осуществления прибрежного рыболовства и промышленного рыболовства в пресн</w:t>
      </w:r>
      <w:r w:rsidR="005C639B">
        <w:t>о</w:t>
      </w:r>
      <w:r w:rsidR="005C639B" w:rsidRPr="00BE108E">
        <w:t>водных объектах.</w:t>
      </w:r>
    </w:p>
    <w:p w:rsidR="00205D63" w:rsidRPr="00BE108E" w:rsidRDefault="00205D63" w:rsidP="00205D63">
      <w:r w:rsidRPr="00BE108E">
        <w:t xml:space="preserve">В целях обеспечения традиционного образа жизни и осуществления хозяйственной деятельности представителям коренного малочисленного народа </w:t>
      </w:r>
      <w:r w:rsidRPr="00BE108E">
        <w:lastRenderedPageBreak/>
        <w:t>саами выделен</w:t>
      </w:r>
      <w:r w:rsidR="005C639B">
        <w:t>ы</w:t>
      </w:r>
      <w:r w:rsidRPr="00BE108E">
        <w:t xml:space="preserve"> </w:t>
      </w:r>
      <w:r w:rsidR="005C639B">
        <w:t xml:space="preserve">квоты на вылов </w:t>
      </w:r>
      <w:r w:rsidRPr="00BE108E">
        <w:t>300 тонн трески и 75 тонн пикши в Баренцевом море (375 тонн)</w:t>
      </w:r>
      <w:r w:rsidR="005C639B">
        <w:t>, а также квоты на вылов 2</w:t>
      </w:r>
      <w:r w:rsidRPr="00BE108E">
        <w:t>2 тонн сига, щуки, налима, окуня</w:t>
      </w:r>
      <w:r w:rsidR="00B802D6">
        <w:t>,</w:t>
      </w:r>
      <w:r w:rsidRPr="00BE108E">
        <w:t xml:space="preserve"> хариуса, ряпушки, корюшки </w:t>
      </w:r>
      <w:r w:rsidR="005C639B">
        <w:t xml:space="preserve">на </w:t>
      </w:r>
      <w:r w:rsidR="005C639B" w:rsidRPr="00BE108E">
        <w:t>пресноводны</w:t>
      </w:r>
      <w:r w:rsidR="005C639B">
        <w:t>х</w:t>
      </w:r>
      <w:r w:rsidR="005C639B" w:rsidRPr="00BE108E">
        <w:t xml:space="preserve"> объект</w:t>
      </w:r>
      <w:r w:rsidR="005C639B">
        <w:t>ах.</w:t>
      </w:r>
      <w:r w:rsidR="005C639B" w:rsidRPr="00BE108E">
        <w:t xml:space="preserve"> </w:t>
      </w:r>
      <w:r w:rsidRPr="00BE108E">
        <w:t>Освоено 62% выделенных объемов трески, пикши и 17% пресноводных водных биоресурсов.</w:t>
      </w:r>
    </w:p>
    <w:p w:rsidR="00205D63" w:rsidRPr="00BE108E" w:rsidRDefault="00205D63" w:rsidP="00205D63">
      <w:r w:rsidRPr="00BE108E">
        <w:t xml:space="preserve">Для осуществления спортивного и любительского рыболовства </w:t>
      </w:r>
      <w:r w:rsidRPr="00BE108E">
        <w:rPr>
          <w:rFonts w:eastAsia="Times New Roman"/>
        </w:rPr>
        <w:t>было выделено 6 квот</w:t>
      </w:r>
      <w:r w:rsidRPr="00BE108E">
        <w:t xml:space="preserve"> </w:t>
      </w:r>
      <w:r w:rsidRPr="00BE108E">
        <w:rPr>
          <w:rFonts w:eastAsia="Times New Roman"/>
        </w:rPr>
        <w:t>16 пользователям, которые занимались рыболовным туризмом на 23 озерах и 41 семужьей реке.</w:t>
      </w:r>
    </w:p>
    <w:p w:rsidR="00205D63" w:rsidRPr="00BE108E" w:rsidRDefault="00205D63" w:rsidP="00205D63">
      <w:r w:rsidRPr="00BE108E">
        <w:t>В отчетном году не удалось реализовать мероприятие по осуществлению переданных в соответствии с федеральным законом «О животном мире» органам государственной власти субъектов Российской Федерации полномочий в области организации, регулирования и охраны водных биологических ресурсов ввиду недостаточного финансового обеспечения его реализации. При проведении процедуры запроса цен коммерческое предложение, поступившее от организации, намного превысило сумму средств, предусмотренную на исполнение данного мероприятия. Субвенция была возвращена в федеральный бюджет.</w:t>
      </w:r>
    </w:p>
    <w:p w:rsidR="00205D63" w:rsidRPr="00BE108E" w:rsidRDefault="00205D63" w:rsidP="00205D63">
      <w:r w:rsidRPr="00BE108E">
        <w:t>Кроме того, не выполнен показатель по количеству предоставленных рыбопромысловых участков, т.к. на объявленный конкурс не поступало заявок.</w:t>
      </w:r>
    </w:p>
    <w:p w:rsidR="00B802D6" w:rsidRPr="00BE108E" w:rsidRDefault="00B802D6" w:rsidP="00B802D6">
      <w:r>
        <w:t xml:space="preserve">В целях развития </w:t>
      </w:r>
      <w:r w:rsidRPr="00BE108E">
        <w:t xml:space="preserve">береговой рыбопереработки 7 предприятиям </w:t>
      </w:r>
      <w:r w:rsidRPr="00BE108E">
        <w:rPr>
          <w:rFonts w:eastAsia="Times New Roman"/>
        </w:rPr>
        <w:t xml:space="preserve">была </w:t>
      </w:r>
      <w:r w:rsidRPr="00BE108E">
        <w:t>оказана государственная поддержка на возмещение части процентной ставки по кредитным договорам, целевым назначением которых является приобретение сырья и вспомогательных материалов, на сумму 4 279,8 тыс. рублей</w:t>
      </w:r>
      <w:r>
        <w:t xml:space="preserve"> за счет средств</w:t>
      </w:r>
      <w:r w:rsidRPr="00BE108E">
        <w:t xml:space="preserve"> областного бюджета.</w:t>
      </w:r>
    </w:p>
    <w:p w:rsidR="00205D63" w:rsidRPr="00BE108E" w:rsidRDefault="00205D63" w:rsidP="00205D63">
      <w:r w:rsidRPr="00BE108E">
        <w:t xml:space="preserve">Для </w:t>
      </w:r>
      <w:r w:rsidRPr="00BE108E">
        <w:rPr>
          <w:b/>
        </w:rPr>
        <w:t xml:space="preserve">стимулирования развития аквакультуры </w:t>
      </w:r>
      <w:r w:rsidRPr="00BE108E">
        <w:t xml:space="preserve">была оказана государственная поддержка предприятиям </w:t>
      </w:r>
      <w:proofErr w:type="spellStart"/>
      <w:r w:rsidRPr="00BE108E">
        <w:t>марикультуры</w:t>
      </w:r>
      <w:proofErr w:type="spellEnd"/>
      <w:r w:rsidRPr="00BE108E">
        <w:t xml:space="preserve"> региона: ПАО «Русский Лосось» и ООО «Русское море – Аквакультура». На возмещение части затрат на уплату процентов по инвестиционным кредитам направлено 44 389,5 тыс. рублей (в т.ч. из областного бюджета – 8 877,9 тыс. рублей, из федерального бюджета – 35 511,6 тыс. рублей), что на 5% больше, чем в 2013 году.</w:t>
      </w:r>
    </w:p>
    <w:p w:rsidR="00205D63" w:rsidRPr="00BE108E" w:rsidRDefault="00205D63" w:rsidP="00205D63">
      <w:r w:rsidRPr="00BE108E">
        <w:t>В отчетном периоде отмечается рост на 49,4</w:t>
      </w:r>
      <w:r w:rsidR="00FB5C0B">
        <w:t>%</w:t>
      </w:r>
      <w:r w:rsidRPr="00BE108E">
        <w:t xml:space="preserve"> по сравнению с 2013 годом показателя объема реализации продукции собственного производства предприятиями аквакультуры. </w:t>
      </w:r>
    </w:p>
    <w:p w:rsidR="00205D63" w:rsidRPr="00BE108E" w:rsidRDefault="00205D63" w:rsidP="00205D63">
      <w:pPr>
        <w:rPr>
          <w:bCs/>
        </w:rPr>
      </w:pPr>
      <w:r w:rsidRPr="00BE108E">
        <w:rPr>
          <w:bCs/>
        </w:rPr>
        <w:t>В то же время в связи с недопоставкой в августе 2014 года партии смолта лосося из Норвегии не в полном объеме достигнут показатель по объему искусственного выращивания гидробионтов предприятиями рыбоводства (80,4% к плану). По этой же причине не выполнен показатель (80,6% от плана) темпа роста объема производства продукции аквакультуры (к уровню 2011 года).</w:t>
      </w:r>
    </w:p>
    <w:p w:rsidR="00205D63" w:rsidRPr="00BE108E" w:rsidRDefault="00205D63" w:rsidP="00205D63">
      <w:pPr>
        <w:rPr>
          <w:rFonts w:eastAsia="Times New Roman"/>
        </w:rPr>
      </w:pPr>
      <w:r w:rsidRPr="00BE108E">
        <w:rPr>
          <w:bCs/>
        </w:rPr>
        <w:t>Мероприятия по</w:t>
      </w:r>
      <w:r w:rsidRPr="00BE108E">
        <w:rPr>
          <w:b/>
          <w:bCs/>
        </w:rPr>
        <w:t xml:space="preserve"> модернизации основных производственных фондов, внедрению инновационных технологий</w:t>
      </w:r>
      <w:r w:rsidRPr="00BE108E">
        <w:rPr>
          <w:bCs/>
        </w:rPr>
        <w:t xml:space="preserve"> осуществлялись за счет средств внебюджетных источников.</w:t>
      </w:r>
    </w:p>
    <w:p w:rsidR="00205D63" w:rsidRPr="00BE108E" w:rsidRDefault="00205D63" w:rsidP="00205D63">
      <w:pPr>
        <w:rPr>
          <w:rFonts w:eastAsia="Times New Roman"/>
        </w:rPr>
      </w:pPr>
      <w:r w:rsidRPr="00BE108E">
        <w:rPr>
          <w:rFonts w:eastAsia="Times New Roman"/>
        </w:rPr>
        <w:lastRenderedPageBreak/>
        <w:t xml:space="preserve">Рыбопромышленниками региона продолжалась работа по техническому совершенствованию рыбопромыслового флота. В 2014 году приступили к промыслу 2 новых рыбодобывающих судна. </w:t>
      </w:r>
    </w:p>
    <w:p w:rsidR="00205D63" w:rsidRPr="00BE108E" w:rsidRDefault="00205D63" w:rsidP="00205D63">
      <w:pPr>
        <w:rPr>
          <w:rFonts w:eastAsia="Times New Roman"/>
        </w:rPr>
      </w:pPr>
      <w:r w:rsidRPr="00BE108E">
        <w:rPr>
          <w:bCs/>
        </w:rPr>
        <w:t>Расширилась деятельность рыбоводных организаций аквакультуры:</w:t>
      </w:r>
      <w:r w:rsidRPr="00BE108E">
        <w:rPr>
          <w:rFonts w:eastAsia="Times New Roman"/>
        </w:rPr>
        <w:t xml:space="preserve"> построено 2 садковых хозяйства по выращиванию </w:t>
      </w:r>
      <w:proofErr w:type="spellStart"/>
      <w:r w:rsidRPr="00BE108E">
        <w:rPr>
          <w:rFonts w:eastAsia="Times New Roman"/>
        </w:rPr>
        <w:t>атлантическеского</w:t>
      </w:r>
      <w:proofErr w:type="spellEnd"/>
      <w:r w:rsidRPr="00BE108E">
        <w:rPr>
          <w:rFonts w:eastAsia="Times New Roman"/>
        </w:rPr>
        <w:t xml:space="preserve"> лосося и морской форели, завершено строительство фабрики по забою рыбы в поселке Ура-Губа, продолжилось строительство новой фабрики по первичной переработке «красной» рыбы.</w:t>
      </w:r>
    </w:p>
    <w:p w:rsidR="00205D63" w:rsidRPr="00BE108E" w:rsidRDefault="00205D63" w:rsidP="00205D63">
      <w:pPr>
        <w:rPr>
          <w:rFonts w:eastAsia="Times New Roman"/>
          <w:color w:val="FF0000"/>
        </w:rPr>
      </w:pPr>
      <w:r w:rsidRPr="00BE108E">
        <w:rPr>
          <w:rFonts w:eastAsia="Times New Roman"/>
        </w:rPr>
        <w:t>В результате реализации данных мероприятий значительно перевыполнен (степень достижения – 165%) показатель объема инвестиций в основной капитал рыбохозяйственного комплекса Мурманской области.</w:t>
      </w:r>
    </w:p>
    <w:p w:rsidR="00205D63" w:rsidRPr="00BE108E" w:rsidRDefault="00205D63" w:rsidP="00205D63">
      <w:pPr>
        <w:rPr>
          <w:bCs/>
          <w:strike/>
          <w:color w:val="FF0000"/>
        </w:rPr>
      </w:pPr>
      <w:r w:rsidRPr="00BE108E">
        <w:t xml:space="preserve">Всего на 2014 год по государственной программе были предусмотрены к выполнению 18 показателей целей и задач, из которых 10 достигнуты с высокой степенью, 2 – со средней, 1 – с низкой, 2 – значительно перевыполнены, по 3 показателям отсутствуют статистические данные. Средняя степень достижения показателей государственной программы – 112,8%. </w:t>
      </w:r>
    </w:p>
    <w:p w:rsidR="00205D63" w:rsidRPr="00BE108E" w:rsidRDefault="00205D63" w:rsidP="00205D63">
      <w:pPr>
        <w:rPr>
          <w:bCs/>
        </w:rPr>
      </w:pPr>
      <w:r w:rsidRPr="00BE108E">
        <w:t>Превышение ф</w:t>
      </w:r>
      <w:r w:rsidRPr="00BE108E">
        <w:rPr>
          <w:bCs/>
        </w:rPr>
        <w:t xml:space="preserve">актических значений показателей над плановыми связано с капитальными вложениями в развитие рыболовства, расширением деятельности рыбоводных организаций аквакультуры, увеличением поступления налоговых платежей в консолидированный бюджет Мурманской области. </w:t>
      </w:r>
    </w:p>
    <w:p w:rsidR="00205D63" w:rsidRPr="00BE108E" w:rsidRDefault="00205D63" w:rsidP="00205D63">
      <w:r w:rsidRPr="00BE108E">
        <w:t>В соответствии с утвержденной методикой степень достижения целей и решения задач государственной программы составляет 111,9</w:t>
      </w:r>
      <w:r w:rsidR="00FB5C0B">
        <w:t>%</w:t>
      </w:r>
      <w:r w:rsidRPr="00BE108E">
        <w:t>. Степень соответствия реализованных мероприятий и фактических расходов запланированному уровню затрат и эффективности использования средств составляет 119,7</w:t>
      </w:r>
      <w:r w:rsidR="00FB5C0B">
        <w:t>%</w:t>
      </w:r>
      <w:r w:rsidRPr="00BE108E">
        <w:t xml:space="preserve">. Достигнутые результаты свидетельствуют о высоком уровне эффективности реализации государственной программы. </w:t>
      </w:r>
    </w:p>
    <w:p w:rsidR="00FF4E43" w:rsidRPr="00BE108E" w:rsidRDefault="00FF4E43" w:rsidP="00FF4E43">
      <w:pPr>
        <w:pStyle w:val="ConsPlusCell"/>
        <w:ind w:firstLine="709"/>
        <w:jc w:val="both"/>
        <w:rPr>
          <w:rStyle w:val="FontStyle14"/>
          <w:sz w:val="28"/>
          <w:szCs w:val="28"/>
        </w:rPr>
      </w:pPr>
    </w:p>
    <w:p w:rsidR="00CC567C" w:rsidRDefault="00CC567C">
      <w:pPr>
        <w:spacing w:after="200" w:line="276" w:lineRule="auto"/>
        <w:ind w:firstLine="0"/>
        <w:jc w:val="left"/>
        <w:rPr>
          <w:rFonts w:eastAsiaTheme="majorEastAsia" w:cstheme="majorBidi"/>
          <w:b/>
          <w:bCs/>
          <w:szCs w:val="28"/>
        </w:rPr>
      </w:pPr>
      <w:r>
        <w:br w:type="page"/>
      </w:r>
    </w:p>
    <w:p w:rsidR="004B5693" w:rsidRPr="00BE108E" w:rsidRDefault="004B5693" w:rsidP="004B5693">
      <w:pPr>
        <w:pStyle w:val="1"/>
      </w:pPr>
      <w:r w:rsidRPr="00BE108E">
        <w:lastRenderedPageBreak/>
        <w:t xml:space="preserve">Государственная программа 12 «Развитие сельского хозяйства и регулирование рынков сельскохозяйственной продукции, сырья и продовольствия» </w:t>
      </w:r>
    </w:p>
    <w:p w:rsidR="00D064E3" w:rsidRPr="00BE108E" w:rsidRDefault="00D064E3" w:rsidP="00D064E3">
      <w:pPr>
        <w:pStyle w:val="ConsPlusCell"/>
        <w:ind w:firstLine="709"/>
        <w:jc w:val="both"/>
        <w:rPr>
          <w:rStyle w:val="FontStyle14"/>
          <w:sz w:val="28"/>
          <w:szCs w:val="28"/>
        </w:rPr>
      </w:pPr>
    </w:p>
    <w:p w:rsidR="00D064E3" w:rsidRPr="00BE108E" w:rsidRDefault="00D064E3" w:rsidP="00D064E3">
      <w:pPr>
        <w:pStyle w:val="ConsPlusCell"/>
        <w:jc w:val="both"/>
        <w:rPr>
          <w:rStyle w:val="FontStyle14"/>
          <w:sz w:val="28"/>
          <w:szCs w:val="28"/>
        </w:rPr>
      </w:pPr>
      <w:r w:rsidRPr="00BE108E">
        <w:rPr>
          <w:noProof/>
        </w:rPr>
        <w:drawing>
          <wp:inline distT="0" distB="0" distL="0" distR="0">
            <wp:extent cx="2498652" cy="3530009"/>
            <wp:effectExtent l="0" t="0" r="16510" b="1333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Pr="00BE108E">
        <w:rPr>
          <w:noProof/>
        </w:rPr>
        <w:t xml:space="preserve"> </w:t>
      </w:r>
      <w:r w:rsidRPr="00BE108E">
        <w:rPr>
          <w:noProof/>
        </w:rPr>
        <w:drawing>
          <wp:inline distT="0" distB="0" distL="0" distR="0">
            <wp:extent cx="3487480" cy="3519377"/>
            <wp:effectExtent l="0" t="0" r="17780" b="24130"/>
            <wp:docPr id="34" name="Диаграмма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C13F31" w:rsidRDefault="00C13F31" w:rsidP="00C13F31">
      <w:pPr>
        <w:ind w:firstLine="0"/>
        <w:jc w:val="center"/>
        <w:rPr>
          <w:sz w:val="24"/>
        </w:rPr>
      </w:pPr>
      <w:r w:rsidRPr="00C13F31">
        <w:rPr>
          <w:sz w:val="24"/>
        </w:rPr>
        <w:t xml:space="preserve">Рисунок </w:t>
      </w:r>
      <w:r w:rsidR="00CC567C">
        <w:rPr>
          <w:sz w:val="24"/>
        </w:rPr>
        <w:t>1</w:t>
      </w:r>
      <w:r w:rsidRPr="00C13F31">
        <w:rPr>
          <w:sz w:val="24"/>
        </w:rPr>
        <w:t>6</w:t>
      </w:r>
    </w:p>
    <w:p w:rsidR="004B5693" w:rsidRPr="00BE108E" w:rsidRDefault="004B5693" w:rsidP="004B5693">
      <w:pPr>
        <w:rPr>
          <w:rFonts w:cs="Times New Roman"/>
          <w:szCs w:val="28"/>
        </w:rPr>
      </w:pPr>
    </w:p>
    <w:p w:rsidR="004B5693" w:rsidRPr="00BE108E" w:rsidRDefault="004B5693" w:rsidP="004B5693">
      <w:pPr>
        <w:rPr>
          <w:rFonts w:eastAsia="Times New Roman"/>
        </w:rPr>
      </w:pPr>
      <w:r w:rsidRPr="00BE108E">
        <w:t>В 2014 году за счет всех источников финансирования на реализацию госпрограммы было предусмотрено 832,8 млн. рублей. Фактически израсходовано 659,1 млн. рублей (79,1%), в том числе за счет средств областного бюджета – 544 млн. рублей (89,2%), федерального бюджета – 90,6 млн. рублей (55,5%), средств внебюджетных источников – 24,5 млн. рублей (40,8%). Н</w:t>
      </w:r>
      <w:r w:rsidRPr="00BE108E">
        <w:rPr>
          <w:rFonts w:eastAsia="Times New Roman"/>
        </w:rPr>
        <w:t xml:space="preserve">е использованы в полном объеме средства на частичное возмещение процентной ставки по привлеченным кредитам (перенос срока гашения основного долга и уплаты процентов с 2014 года на март 2015 года по четырем кредитам), </w:t>
      </w:r>
      <w:r w:rsidRPr="00BE108E">
        <w:t>дефицит собственных средств предприятий не позволил осуществить в планируемых объемах закупку техник</w:t>
      </w:r>
      <w:r w:rsidR="0055692C">
        <w:t>и</w:t>
      </w:r>
      <w:r w:rsidRPr="00BE108E">
        <w:t xml:space="preserve"> и оборудования. Кроме того, </w:t>
      </w:r>
      <w:r w:rsidRPr="00BE108E">
        <w:rPr>
          <w:rFonts w:eastAsia="Times New Roman"/>
        </w:rPr>
        <w:t>плановые значения по средствам федерального бюджета были установлены прогнозно.</w:t>
      </w:r>
    </w:p>
    <w:p w:rsidR="004B5693" w:rsidRPr="00BE108E" w:rsidRDefault="004B5693" w:rsidP="004B5693">
      <w:pPr>
        <w:rPr>
          <w:rFonts w:eastAsia="Times New Roman"/>
        </w:rPr>
      </w:pPr>
      <w:r w:rsidRPr="00BE108E">
        <w:rPr>
          <w:rFonts w:eastAsia="Times New Roman"/>
        </w:rPr>
        <w:t xml:space="preserve">В целях </w:t>
      </w:r>
      <w:r w:rsidRPr="00BE108E">
        <w:rPr>
          <w:rFonts w:eastAsia="Times New Roman"/>
          <w:b/>
        </w:rPr>
        <w:t xml:space="preserve">развития производства основных видов сельскохозяйственной продукции и пищевых продуктов </w:t>
      </w:r>
      <w:r w:rsidRPr="00BE108E">
        <w:rPr>
          <w:rFonts w:eastAsia="Times New Roman"/>
        </w:rPr>
        <w:t>в 2014 году предоставлена государственная поддержка организациям агропромышленного комплекса в форме субсидий на возмещение затрат на приобретение основных средств и уплату процентов по привлеченным на эти цели кредитам в объеме 9,3 млн. рублей, получателями субсидий стали 7 организаций (в 2013 году – 1), в том числе 3 организации – производители социального хлеба.</w:t>
      </w:r>
    </w:p>
    <w:p w:rsidR="004B5693" w:rsidRPr="00BE108E" w:rsidRDefault="004B5693" w:rsidP="004B5693">
      <w:pPr>
        <w:rPr>
          <w:rFonts w:eastAsia="Times New Roman"/>
        </w:rPr>
      </w:pPr>
      <w:r w:rsidRPr="00BE108E">
        <w:t xml:space="preserve">В рамках мероприятий по развитию растениеводства (кормопроизводства) предоставлены субсидии на сумму 48,4 млн. рублей 21 организации (в 2013 году – 30). Дефицит собственных финансовых средств не </w:t>
      </w:r>
      <w:r w:rsidRPr="00BE108E">
        <w:lastRenderedPageBreak/>
        <w:t xml:space="preserve">позволил сельхозпредприятиям осуществить в необходимом объеме мероприятия по мелиорации земель и улучшению плодородия почв, </w:t>
      </w:r>
      <w:r w:rsidRPr="00BE108E">
        <w:rPr>
          <w:rFonts w:eastAsia="Times New Roman"/>
        </w:rPr>
        <w:t>уборочные площади кормовых культур</w:t>
      </w:r>
      <w:r w:rsidRPr="00BE108E">
        <w:t xml:space="preserve"> значительно сократились</w:t>
      </w:r>
      <w:r w:rsidRPr="00BE108E">
        <w:rPr>
          <w:rFonts w:eastAsia="Times New Roman"/>
        </w:rPr>
        <w:t xml:space="preserve">, </w:t>
      </w:r>
      <w:r w:rsidRPr="00BE108E">
        <w:t xml:space="preserve">плановые </w:t>
      </w:r>
      <w:r w:rsidRPr="00BE108E">
        <w:rPr>
          <w:rFonts w:eastAsia="Times New Roman"/>
        </w:rPr>
        <w:t>показатели в растениеводстве не выполнены.</w:t>
      </w:r>
    </w:p>
    <w:p w:rsidR="004B5693" w:rsidRPr="00BE108E" w:rsidRDefault="004B5693" w:rsidP="004B5693">
      <w:r w:rsidRPr="00BE108E">
        <w:t>На развитие животноводства, переработки и реализации продукции животноводства направлено субсидий на общую сумму 407,9 млн. рублей, получателями стали 38 организаций (в 2013 году – 42). Крестьянским и фермерским хозяйствам предоставлено 5,8 млн. рублей, получателями субсидий стали 8 субъектов хозяйственной деятельности (в 2013 году – 6).</w:t>
      </w:r>
    </w:p>
    <w:p w:rsidR="004B5693" w:rsidRPr="00BE108E" w:rsidRDefault="004B5693" w:rsidP="004B5693">
      <w:r w:rsidRPr="00BE108E">
        <w:t>Несмотря на государственную финансовую поддержку в 2014 году произошло значительное снижение производства основных видов сельскохозяйственной продукции, в результате индекс сельскохозяйственного производства сложился на уровне 82,5%.</w:t>
      </w:r>
    </w:p>
    <w:p w:rsidR="004B5693" w:rsidRPr="00BE108E" w:rsidRDefault="004B5693" w:rsidP="004B5693">
      <w:pPr>
        <w:rPr>
          <w:rFonts w:eastAsia="Times New Roman"/>
          <w:color w:val="000000"/>
        </w:rPr>
      </w:pPr>
      <w:r w:rsidRPr="00BE108E">
        <w:rPr>
          <w:rFonts w:eastAsia="Times New Roman"/>
          <w:bCs/>
        </w:rPr>
        <w:t xml:space="preserve">Для </w:t>
      </w:r>
      <w:r w:rsidRPr="00BE108E">
        <w:rPr>
          <w:rFonts w:eastAsia="Times New Roman"/>
          <w:b/>
          <w:bCs/>
        </w:rPr>
        <w:t xml:space="preserve">развития сельских территорий Мурманской области </w:t>
      </w:r>
      <w:r w:rsidRPr="00BE108E">
        <w:rPr>
          <w:rFonts w:eastAsia="Times New Roman"/>
          <w:bCs/>
        </w:rPr>
        <w:t xml:space="preserve">в рамках мероприятий по обустройству населенных пунктов в сельской местности объектами социальной и инженерной инфраструктуры </w:t>
      </w:r>
      <w:r w:rsidRPr="00BE108E">
        <w:rPr>
          <w:rFonts w:eastAsia="Times New Roman"/>
          <w:color w:val="000000"/>
        </w:rPr>
        <w:t xml:space="preserve">в 2014 году разработана проектно-сметная документация </w:t>
      </w:r>
      <w:r w:rsidR="00CC567C">
        <w:rPr>
          <w:rFonts w:eastAsia="Times New Roman"/>
          <w:color w:val="000000"/>
        </w:rPr>
        <w:t xml:space="preserve">на строительство </w:t>
      </w:r>
      <w:r w:rsidRPr="00BE108E">
        <w:rPr>
          <w:rFonts w:eastAsia="Times New Roman"/>
          <w:color w:val="000000"/>
        </w:rPr>
        <w:t xml:space="preserve">пяти фельдшерско-акушерских пунктов. </w:t>
      </w:r>
    </w:p>
    <w:p w:rsidR="004B5693" w:rsidRPr="00BE108E" w:rsidRDefault="004B5693" w:rsidP="004B5693">
      <w:r w:rsidRPr="00BE108E">
        <w:rPr>
          <w:rFonts w:eastAsia="Times New Roman"/>
        </w:rPr>
        <w:t>С</w:t>
      </w:r>
      <w:r w:rsidRPr="00BE108E">
        <w:t>оциальные выплаты на строительство (приобретение) жилья гражданам, проживающим в сельской местности Мурманской области, в 2014 году не предоставлялись (гражданами – участниками мероприятий по улучшению жилищных условий не представлены документы, подтверждающие факт строительства жилья (понесенных расходов), на основании поступивших от них заявлений они включены в списки участников программных мероприятий по улучшению жилищных условий на 2015 год).</w:t>
      </w:r>
    </w:p>
    <w:p w:rsidR="004B5693" w:rsidRPr="00BE108E" w:rsidRDefault="004B5693" w:rsidP="004B5693">
      <w:r w:rsidRPr="00BE108E">
        <w:rPr>
          <w:bCs/>
        </w:rPr>
        <w:t>В 2014 году обеспечено</w:t>
      </w:r>
      <w:r w:rsidRPr="00BE108E">
        <w:rPr>
          <w:b/>
          <w:bCs/>
        </w:rPr>
        <w:t xml:space="preserve"> предотвращение возникновения и распространения заразных болезней животных, реализации некачественных и опасных пищевых продуктов животного происхождения</w:t>
      </w:r>
      <w:r w:rsidRPr="00BE108E">
        <w:rPr>
          <w:bCs/>
        </w:rPr>
        <w:t>, что подтверждается</w:t>
      </w:r>
      <w:r w:rsidRPr="00BE108E">
        <w:rPr>
          <w:b/>
          <w:bCs/>
        </w:rPr>
        <w:t xml:space="preserve"> </w:t>
      </w:r>
      <w:r w:rsidRPr="00BE108E">
        <w:t>отсутствием случаев возникновения очагов особо опасных болезней животных и случаев заболевания людей болезнями, общими для человека и животных.</w:t>
      </w:r>
    </w:p>
    <w:p w:rsidR="004B5693" w:rsidRPr="00BE108E" w:rsidRDefault="004B5693" w:rsidP="004B5693">
      <w:pPr>
        <w:rPr>
          <w:rFonts w:eastAsia="Times New Roman"/>
        </w:rPr>
      </w:pPr>
      <w:r w:rsidRPr="00BE108E">
        <w:t xml:space="preserve">В рамках мероприятий по борьбе с болезнями животных и ветеринарно-санитарной экспертизе пищевых продуктов животного происхождения </w:t>
      </w:r>
      <w:r w:rsidRPr="00BE108E">
        <w:rPr>
          <w:rFonts w:eastAsia="Times New Roman"/>
        </w:rPr>
        <w:t>вакцинации подвергнуто 196,2 тыс. голов сельскохозяйственных и домашних животных, проведено 77,1 тыс.</w:t>
      </w:r>
      <w:r w:rsidR="00FB5C0B">
        <w:rPr>
          <w:rFonts w:eastAsia="Times New Roman"/>
        </w:rPr>
        <w:t xml:space="preserve"> </w:t>
      </w:r>
      <w:r w:rsidRPr="00BE108E">
        <w:rPr>
          <w:rFonts w:eastAsia="Times New Roman"/>
        </w:rPr>
        <w:t>диагностических исследований, отобрано 24</w:t>
      </w:r>
      <w:r w:rsidRPr="00BE108E">
        <w:t> </w:t>
      </w:r>
      <w:r w:rsidRPr="00BE108E">
        <w:rPr>
          <w:rFonts w:eastAsia="Times New Roman"/>
        </w:rPr>
        <w:t>тыс. проб биоматериала.</w:t>
      </w:r>
      <w:r w:rsidR="00FB5C0B">
        <w:t xml:space="preserve"> </w:t>
      </w:r>
    </w:p>
    <w:p w:rsidR="004B5693" w:rsidRPr="00BE108E" w:rsidRDefault="004B5693" w:rsidP="004B5693">
      <w:pPr>
        <w:rPr>
          <w:rFonts w:eastAsia="Times New Roman"/>
        </w:rPr>
      </w:pPr>
      <w:r w:rsidRPr="00BE108E">
        <w:t xml:space="preserve">Доля выявленных несоответствий пищевой продукции животного происхождения показателям безопасности составила 3,3% (план – 2,6%), что связано с вводом всероссийской электронной системы «Сирано», позволяющей отслеживать оборот некачественных пищевых продуктов и проводить дополнительные лабораторные исследования продукции в рамках усиленного контроля. Всего в 2014 году в целях недопущения поступления в реализацию некачественной и опасной в ветеринарном отношении пищевой продукции ветеринарно-санитарной экспертизе подвергнуто 418,6 тыс. тонн пищевой продукции животного происхождения, выявлено 524,4 тонн некачественной и </w:t>
      </w:r>
      <w:r w:rsidRPr="00BE108E">
        <w:lastRenderedPageBreak/>
        <w:t xml:space="preserve">опасной пищевой продукции, которая была подвергнута уничтожению, утилизации и обезвреживанию. </w:t>
      </w:r>
    </w:p>
    <w:p w:rsidR="004B5693" w:rsidRPr="00BE108E" w:rsidRDefault="004B5693" w:rsidP="004B5693">
      <w:r w:rsidRPr="00BE108E">
        <w:t>Проведены ремонтные работы на двух сибиреязвенных захоронениях, в настоящее время их состояние соответствует ветеринарно-санитарным требованиям. Осуществлен текущий ремонт еще 13 объектов, но доля зданий, подлежащих ремонту, в общем количестве зданий государственной ветеринарной службы на конец 2014 года отстает от запланированного значения (43% против 40% по плану).</w:t>
      </w:r>
    </w:p>
    <w:p w:rsidR="004B5693" w:rsidRPr="00BE108E" w:rsidRDefault="004B5693" w:rsidP="004B5693">
      <w:r w:rsidRPr="00BE108E">
        <w:t xml:space="preserve">Всего государственной программой установлен 31 показатель целей и задач, из которых по 7 отмечается низкая степень достижения, по 10 – средняя, по 13 – высокая, один показатель – существенно перевыполнен (на 68,1% превышено плановое значение количества выданных разрешений на ввоз (вывоз) за (в) пределы Мурманской области подконтрольных грузов, что обусловлено ростом грузооборота). Средняя степень достижения показателей государственной программы составила 83%. Не выполнены основные показатели, характеризующие состояние аграрного сектора экономики региона, что, прежде всего, вызвано падением цен реализации продукции свиноводства в первом полугодии 2014 года в связи с вхождением России в ВТО и удорожанием кормов, не позволившим предприятиям вкладывать денежные средства в развитие производства. </w:t>
      </w:r>
    </w:p>
    <w:p w:rsidR="004B5693" w:rsidRPr="00BE108E" w:rsidRDefault="004B5693" w:rsidP="004B5693">
      <w:r w:rsidRPr="00BE108E">
        <w:t>С учетом недостаточного освоения финансовых ресурсов, не достижения запланированных значений целевых показателей установлена низкая эффективность государственной программы.</w:t>
      </w:r>
    </w:p>
    <w:p w:rsidR="004B5693" w:rsidRPr="00BE108E" w:rsidRDefault="004B5693" w:rsidP="00FF4E43">
      <w:pPr>
        <w:pStyle w:val="ConsPlusCell"/>
        <w:ind w:firstLine="709"/>
        <w:jc w:val="both"/>
        <w:rPr>
          <w:rStyle w:val="FontStyle14"/>
          <w:sz w:val="28"/>
          <w:szCs w:val="28"/>
        </w:rPr>
      </w:pPr>
    </w:p>
    <w:p w:rsidR="002802A9" w:rsidRPr="00BE108E" w:rsidRDefault="002802A9" w:rsidP="000756AB">
      <w:pPr>
        <w:pStyle w:val="1"/>
      </w:pPr>
      <w:r w:rsidRPr="00BE108E">
        <w:t xml:space="preserve">Государственная программа </w:t>
      </w:r>
      <w:r w:rsidR="000756AB" w:rsidRPr="00BE108E">
        <w:t xml:space="preserve">13 </w:t>
      </w:r>
      <w:r w:rsidRPr="00BE108E">
        <w:t>«Развитие транспортной системы»</w:t>
      </w:r>
    </w:p>
    <w:p w:rsidR="00D064E3" w:rsidRPr="00BE108E" w:rsidRDefault="00D064E3" w:rsidP="00D064E3">
      <w:pPr>
        <w:pStyle w:val="ConsPlusCell"/>
        <w:ind w:firstLine="709"/>
        <w:jc w:val="both"/>
        <w:rPr>
          <w:rStyle w:val="FontStyle14"/>
          <w:sz w:val="28"/>
          <w:szCs w:val="28"/>
        </w:rPr>
      </w:pPr>
    </w:p>
    <w:p w:rsidR="002802A9" w:rsidRPr="00BE108E" w:rsidRDefault="00D064E3" w:rsidP="00D064E3">
      <w:pPr>
        <w:pStyle w:val="Default"/>
        <w:jc w:val="both"/>
        <w:rPr>
          <w:color w:val="auto"/>
          <w:sz w:val="28"/>
          <w:szCs w:val="28"/>
        </w:rPr>
      </w:pPr>
      <w:r w:rsidRPr="00BE108E">
        <w:rPr>
          <w:noProof/>
        </w:rPr>
        <w:drawing>
          <wp:inline distT="0" distB="0" distL="0" distR="0">
            <wp:extent cx="2339163" cy="2966484"/>
            <wp:effectExtent l="0" t="0" r="23495" b="2476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Pr="00BE108E">
        <w:rPr>
          <w:noProof/>
        </w:rPr>
        <w:t xml:space="preserve"> </w:t>
      </w:r>
      <w:r w:rsidRPr="00BE108E">
        <w:rPr>
          <w:noProof/>
        </w:rPr>
        <w:drawing>
          <wp:inline distT="0" distB="0" distL="0" distR="0">
            <wp:extent cx="3668233" cy="2977116"/>
            <wp:effectExtent l="0" t="0" r="27940" b="1397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C13F31" w:rsidRDefault="00C13F31" w:rsidP="00C13F31">
      <w:pPr>
        <w:ind w:firstLine="0"/>
        <w:jc w:val="center"/>
        <w:rPr>
          <w:sz w:val="24"/>
        </w:rPr>
      </w:pPr>
      <w:r w:rsidRPr="00C13F31">
        <w:rPr>
          <w:sz w:val="24"/>
        </w:rPr>
        <w:t xml:space="preserve">Рисунок </w:t>
      </w:r>
      <w:r w:rsidR="00CC567C">
        <w:rPr>
          <w:sz w:val="24"/>
        </w:rPr>
        <w:t>17</w:t>
      </w:r>
    </w:p>
    <w:p w:rsidR="00C13F31" w:rsidRDefault="00C13F31" w:rsidP="002802A9"/>
    <w:p w:rsidR="002802A9" w:rsidRPr="00BE108E" w:rsidRDefault="002802A9" w:rsidP="002802A9">
      <w:r w:rsidRPr="00BE108E">
        <w:t>Общий объем финансирования, запланированный на реализацию государственной программы, составил 2</w:t>
      </w:r>
      <w:r w:rsidR="000756AB" w:rsidRPr="00BE108E">
        <w:t> </w:t>
      </w:r>
      <w:r w:rsidRPr="00BE108E">
        <w:t xml:space="preserve">701,9 млн. рублей. </w:t>
      </w:r>
    </w:p>
    <w:p w:rsidR="002802A9" w:rsidRPr="00BE108E" w:rsidRDefault="002802A9" w:rsidP="002802A9">
      <w:pPr>
        <w:rPr>
          <w:color w:val="FF0000"/>
        </w:rPr>
      </w:pPr>
      <w:r w:rsidRPr="00BE108E">
        <w:lastRenderedPageBreak/>
        <w:t>Общая сумма расходов за 2014 год составила 2</w:t>
      </w:r>
      <w:r w:rsidR="000756AB" w:rsidRPr="00BE108E">
        <w:t> </w:t>
      </w:r>
      <w:r w:rsidRPr="00BE108E">
        <w:t xml:space="preserve">655,7 млн. рублей (степень освоения </w:t>
      </w:r>
      <w:r w:rsidR="000756AB" w:rsidRPr="00BE108E">
        <w:t>–</w:t>
      </w:r>
      <w:r w:rsidRPr="00BE108E">
        <w:t xml:space="preserve"> 98% от предусмотренного объема), в том числе за счет средств областного бюджета – 2 649,7 млн. рублей (</w:t>
      </w:r>
      <w:r w:rsidR="000756AB" w:rsidRPr="00BE108E">
        <w:t>99</w:t>
      </w:r>
      <w:r w:rsidRPr="00BE108E">
        <w:t xml:space="preserve">%), из них средства регионального Дорожного фонда </w:t>
      </w:r>
      <w:r w:rsidR="000756AB" w:rsidRPr="00BE108E">
        <w:t>–</w:t>
      </w:r>
      <w:r w:rsidRPr="00BE108E">
        <w:t xml:space="preserve"> 1 864,1 млн. рублей (99%), а также средства местных бюджетов – 6,1 млн. рублей (36%). Низкая степень освоения средств местных бюджетов связана с отставанием от графика производства работ по реконструкции путепровода через ж/</w:t>
      </w:r>
      <w:proofErr w:type="spellStart"/>
      <w:r w:rsidRPr="00BE108E">
        <w:t>д</w:t>
      </w:r>
      <w:proofErr w:type="spellEnd"/>
      <w:r w:rsidRPr="00BE108E">
        <w:t xml:space="preserve"> на </w:t>
      </w:r>
      <w:proofErr w:type="spellStart"/>
      <w:r w:rsidRPr="00BE108E">
        <w:t>автоподъезде</w:t>
      </w:r>
      <w:proofErr w:type="spellEnd"/>
      <w:r w:rsidRPr="00BE108E">
        <w:t xml:space="preserve"> к г. Полярные Зори. </w:t>
      </w:r>
    </w:p>
    <w:p w:rsidR="002802A9" w:rsidRPr="00BE108E" w:rsidRDefault="002802A9" w:rsidP="002802A9">
      <w:r w:rsidRPr="00BE108E">
        <w:t xml:space="preserve">Для </w:t>
      </w:r>
      <w:r w:rsidRPr="00BE108E">
        <w:rPr>
          <w:b/>
        </w:rPr>
        <w:t xml:space="preserve">развития сети автомобильных дорог </w:t>
      </w:r>
      <w:r w:rsidRPr="00BE108E">
        <w:t>осуществлялись мероприятия по приведению в нормативное состояние</w:t>
      </w:r>
      <w:r w:rsidR="000756AB" w:rsidRPr="00BE108E">
        <w:t xml:space="preserve"> </w:t>
      </w:r>
      <w:r w:rsidRPr="00BE108E">
        <w:t xml:space="preserve">автомобильных дорог общего пользования регионального, межмуниципального и местного значения Мурманской области. </w:t>
      </w:r>
    </w:p>
    <w:p w:rsidR="002802A9" w:rsidRPr="00BE108E" w:rsidRDefault="002802A9" w:rsidP="002802A9">
      <w:r w:rsidRPr="00BE108E">
        <w:t xml:space="preserve">В отчетном периоде за счет средств регионального дорожного фонда были продолжены работы по капитальному ремонту автомобильной дороги Умба – Варзуга, выполнен капитальный ремонт участка автодороги Кандалакша – Алакуртти – КПП «Салла», ремонт мостового перехода через реку на </w:t>
      </w:r>
      <w:proofErr w:type="spellStart"/>
      <w:r w:rsidRPr="00BE108E">
        <w:t>автоподъезде</w:t>
      </w:r>
      <w:proofErr w:type="spellEnd"/>
      <w:r w:rsidRPr="00BE108E">
        <w:t xml:space="preserve"> к н.п. Лиинахамари, текущий ремонт 48,5 км региональных автодорог (в 2013 – 52,</w:t>
      </w:r>
      <w:r w:rsidR="000756AB" w:rsidRPr="00BE108E">
        <w:t>8</w:t>
      </w:r>
      <w:r w:rsidRPr="00BE108E">
        <w:t xml:space="preserve"> км). </w:t>
      </w:r>
    </w:p>
    <w:p w:rsidR="002802A9" w:rsidRPr="00BE108E" w:rsidRDefault="002802A9" w:rsidP="002802A9">
      <w:pPr>
        <w:rPr>
          <w:color w:val="FF0000"/>
        </w:rPr>
      </w:pPr>
      <w:r w:rsidRPr="00BE108E">
        <w:t xml:space="preserve">В рамках выполнения отдельных мероприятий по технической эксплуатации автомобильных дорог восстановлено 810 тыс. </w:t>
      </w:r>
      <w:r w:rsidR="000756AB" w:rsidRPr="00BE108E">
        <w:t xml:space="preserve">кв. </w:t>
      </w:r>
      <w:r w:rsidRPr="00BE108E">
        <w:t>м дорожного покрытия, из них асфальтобетонного и ч</w:t>
      </w:r>
      <w:r w:rsidR="000756AB" w:rsidRPr="00BE108E">
        <w:t>е</w:t>
      </w:r>
      <w:r w:rsidRPr="00BE108E">
        <w:t>рнощеб</w:t>
      </w:r>
      <w:r w:rsidR="000756AB" w:rsidRPr="00BE108E">
        <w:t>е</w:t>
      </w:r>
      <w:r w:rsidRPr="00BE108E">
        <w:t>ночного покрытия – 257 тыс.</w:t>
      </w:r>
      <w:r w:rsidR="000756AB" w:rsidRPr="00BE108E">
        <w:t xml:space="preserve"> кв. </w:t>
      </w:r>
      <w:r w:rsidRPr="00BE108E">
        <w:t xml:space="preserve">м, гравийного – 553 </w:t>
      </w:r>
      <w:r w:rsidR="000756AB" w:rsidRPr="00BE108E">
        <w:t>тыс. кв. м</w:t>
      </w:r>
      <w:r w:rsidRPr="00BE108E">
        <w:t xml:space="preserve">. </w:t>
      </w:r>
    </w:p>
    <w:p w:rsidR="002802A9" w:rsidRPr="00C91EE2" w:rsidRDefault="00C86D91" w:rsidP="002802A9">
      <w:r w:rsidRPr="009458F2">
        <w:rPr>
          <w:rFonts w:cs="Times New Roman"/>
          <w:szCs w:val="28"/>
        </w:rPr>
        <w:t xml:space="preserve">На условиях софинансирования за счет средств областного и местных бюджетов </w:t>
      </w:r>
      <w:r w:rsidRPr="00C91EE2">
        <w:rPr>
          <w:rFonts w:cs="Times New Roman"/>
          <w:szCs w:val="28"/>
        </w:rPr>
        <w:t>выполнялись работы по строительству, реконструкции, ремонту и капитальному ремонту автомобильных дорог общего пользования местного значения.</w:t>
      </w:r>
      <w:r w:rsidR="002802A9" w:rsidRPr="00C91EE2">
        <w:t xml:space="preserve"> </w:t>
      </w:r>
    </w:p>
    <w:p w:rsidR="002802A9" w:rsidRPr="00BE108E" w:rsidRDefault="002802A9" w:rsidP="002802A9">
      <w:pPr>
        <w:rPr>
          <w:strike/>
        </w:rPr>
      </w:pPr>
      <w:r w:rsidRPr="00C91EE2">
        <w:t>В целях ликвидации мест концентрации дорожно-транспортных происшествий (ДТП) обустроено 7,2 км наиболее опасных участков автомобильных</w:t>
      </w:r>
      <w:r w:rsidRPr="00BE108E">
        <w:t xml:space="preserve"> дорог дорожными ограждениями барьерного типа, была нанесена горизонтальная дорожная разметка, включая поперечные шумовые полосы, устанавливались информационные щиты. Для разделения транспортных потоков противоположных направлений и в целях улучшения восприятия дорожной обстановки водителями была произведена установка гибких разделительных столбиков. </w:t>
      </w:r>
    </w:p>
    <w:p w:rsidR="002802A9" w:rsidRPr="00BE108E" w:rsidRDefault="002802A9" w:rsidP="002802A9">
      <w:r w:rsidRPr="00BE108E">
        <w:t xml:space="preserve">На 16 км региональной автомобильной дороги Мурманской области </w:t>
      </w:r>
      <w:proofErr w:type="spellStart"/>
      <w:r w:rsidRPr="00BE108E">
        <w:t>Мишуково</w:t>
      </w:r>
      <w:proofErr w:type="spellEnd"/>
      <w:r w:rsidRPr="00BE108E">
        <w:t xml:space="preserve"> – </w:t>
      </w:r>
      <w:proofErr w:type="spellStart"/>
      <w:r w:rsidRPr="00BE108E">
        <w:t>Снежногорск</w:t>
      </w:r>
      <w:proofErr w:type="spellEnd"/>
      <w:r w:rsidRPr="00BE108E">
        <w:t xml:space="preserve"> в целях освещения пешеходного перехода был установлен ветряной электрогенератор.</w:t>
      </w:r>
    </w:p>
    <w:p w:rsidR="00CC567C" w:rsidRPr="00BE108E" w:rsidRDefault="00CC567C" w:rsidP="00CC567C">
      <w:r w:rsidRPr="00BE108E">
        <w:t xml:space="preserve">В ходе мероприятий </w:t>
      </w:r>
      <w:r w:rsidRPr="00BE108E">
        <w:rPr>
          <w:b/>
        </w:rPr>
        <w:t>по повышению безопасности дорожного движения и снижению дорожно-транспортного травматизма</w:t>
      </w:r>
      <w:r w:rsidRPr="00BE108E">
        <w:t xml:space="preserve">, проводились проверки эксплуатационного состояния пешеходных переходов, состояния улично-дорожной сети вблизи образовательных учреждений на предмет определения необходимости их дополнительного обустройства. По результатам проверок возбуждены административные делопроизводства. Информация доведена до сведения органов прокуратуры. В адрес владельцев автомобильных дорог направлены представления об устранении причин и условий, способствующих совершению административных правонарушений в зоне </w:t>
      </w:r>
      <w:r w:rsidRPr="00BE108E">
        <w:lastRenderedPageBreak/>
        <w:t>пешеходных переходов. На основании анализа аварийности выявлены места концентрации ДТП.</w:t>
      </w:r>
    </w:p>
    <w:p w:rsidR="00CC567C" w:rsidRPr="0055692C" w:rsidRDefault="00CC567C" w:rsidP="00CC567C">
      <w:pPr>
        <w:rPr>
          <w:color w:val="FF0000"/>
        </w:rPr>
      </w:pPr>
      <w:r w:rsidRPr="0055692C">
        <w:t xml:space="preserve">В целях информирования населения Мурманской области о состоянии аварийности на автомобильном транспорте, детском дорожно-транспортном травматизме и принимаемых мерах по предупреждению ДТП сотрудниками ГИБДД при участии средств массовой информации размещались материалы в печатных изданиях, на телевидении, в информационных агентствах. </w:t>
      </w:r>
    </w:p>
    <w:p w:rsidR="00CC567C" w:rsidRPr="00BE108E" w:rsidRDefault="00CC567C" w:rsidP="00CC567C">
      <w:r w:rsidRPr="0055692C">
        <w:t>В целях профилактики аварийности подразделениями ГИБДД проводились оперативно-профилактические мероприятия «</w:t>
      </w:r>
      <w:r w:rsidRPr="00BE108E">
        <w:t>Внимание-дети!», «Встречная полоса», «Автобус», «Пешеход», «Безопасные дороги» и др., направленны</w:t>
      </w:r>
      <w:r>
        <w:t>е</w:t>
      </w:r>
      <w:r w:rsidRPr="00BE108E">
        <w:t xml:space="preserve"> на привлечение внимания широких слоев населения к решению проблем безопасности движения на автомобильном транспорте, а также профилактические рейды по обеспечению безопасности дорожного движения.</w:t>
      </w:r>
    </w:p>
    <w:p w:rsidR="00CC567C" w:rsidRPr="00BE108E" w:rsidRDefault="00CC567C" w:rsidP="00CC567C">
      <w:r w:rsidRPr="00BE108E">
        <w:t>В результате реализации данных мероприятий на 2 единицы снижен по сравнению с 2013 годом показатель количества мест концентрации ДТП. Снижены показатели по количеству ДТП с участием детей в возрасте до 16 лет – на 7 случаев и количеству ДТП по вине пешеходов – на 27 случаев.</w:t>
      </w:r>
    </w:p>
    <w:p w:rsidR="00CC567C" w:rsidRPr="00BE108E" w:rsidRDefault="00CC567C" w:rsidP="00CC567C">
      <w:r w:rsidRPr="00CC567C">
        <w:t xml:space="preserve">В то же время многолетнее </w:t>
      </w:r>
      <w:proofErr w:type="spellStart"/>
      <w:r w:rsidRPr="00CC567C">
        <w:t>недофинасирование</w:t>
      </w:r>
      <w:proofErr w:type="spellEnd"/>
      <w:r w:rsidRPr="00CC567C">
        <w:t xml:space="preserve"> дорожной отрасли привело к тому, что в настоящее время 70% региональных автодорог находятся в ненормативном состоянии. В результате – не удалось добиться снижения значения показателя по количеству ДТП из-за сопутствующих дорожных условий.</w:t>
      </w:r>
    </w:p>
    <w:p w:rsidR="00CC567C" w:rsidRPr="00BE108E" w:rsidRDefault="00CC567C" w:rsidP="00CC567C">
      <w:pPr>
        <w:rPr>
          <w:rFonts w:eastAsiaTheme="minorHAnsi"/>
        </w:rPr>
      </w:pPr>
      <w:r w:rsidRPr="00BE108E">
        <w:t xml:space="preserve">Инспекцией государственного технического надзора и контроля Мурманской области осуществлялся региональный государственный надзор (контроль) за </w:t>
      </w:r>
      <w:r w:rsidRPr="00BE108E">
        <w:rPr>
          <w:rFonts w:eastAsiaTheme="minorHAnsi"/>
        </w:rPr>
        <w:t xml:space="preserve">техническим состоянием самоходных машин и других видов техники, соблюдением юридическими лицами и индивидуальными предпринимателями требований действующего законодательства в сфере перевозок пассажиров и багажа легковым такси. </w:t>
      </w:r>
    </w:p>
    <w:p w:rsidR="008839C6" w:rsidRPr="00BE108E" w:rsidRDefault="008839C6" w:rsidP="008839C6">
      <w:r w:rsidRPr="00BE108E">
        <w:t>По результатам проведенной работы отмечается перевыполнение плановых показателей по темпам роста проводимых государственных технических осмотров – на 16% и зарегистрированных транспортных средств - на 11%, обусловленное</w:t>
      </w:r>
      <w:r w:rsidRPr="00BE108E">
        <w:rPr>
          <w:color w:val="FF0000"/>
        </w:rPr>
        <w:t xml:space="preserve"> </w:t>
      </w:r>
      <w:r w:rsidRPr="00BE108E">
        <w:t xml:space="preserve">повышением уровня технической готовности самоходных машин и увеличением количества обращений юридических и физических лиц по регистрационным действиям. </w:t>
      </w:r>
    </w:p>
    <w:p w:rsidR="008839C6" w:rsidRPr="00BE108E" w:rsidRDefault="008839C6" w:rsidP="008839C6">
      <w:r w:rsidRPr="00BE108E">
        <w:t xml:space="preserve">В то же время в связи с сокращением количества юридических лиц и предпринимателей, занимающихся перевозкой пассажиров, не достигнуто плановое значение показателя по количеству проведенных проверок в сфере перевозок пассажиров и багажа легковым такси – 13 проверок при плане 23. </w:t>
      </w:r>
    </w:p>
    <w:p w:rsidR="002802A9" w:rsidRPr="00BE108E" w:rsidRDefault="002802A9" w:rsidP="002802A9">
      <w:r w:rsidRPr="00BE108E">
        <w:t xml:space="preserve">С целью </w:t>
      </w:r>
      <w:r w:rsidRPr="00BE108E">
        <w:rPr>
          <w:b/>
        </w:rPr>
        <w:t>создания условий для эффективного транспортного обслуживания населения</w:t>
      </w:r>
      <w:r w:rsidRPr="00BE108E">
        <w:t xml:space="preserve"> осуществлялись мероприятия по обеспечению потребности населения в железнодорожных пригородных перевозках, в перевозках автомобильным транспортом общего пользования, в том числе льготных категорий граждан, а также перевозках на социально значимых межмуниципальных маршрутах, путем возмещения за счет средств областного </w:t>
      </w:r>
      <w:r w:rsidRPr="00BE108E">
        <w:lastRenderedPageBreak/>
        <w:t>бюджета затрат и выплат компенсаций недополученных доходов предприятиям и организациям, осуществляющим данные перевозки.</w:t>
      </w:r>
    </w:p>
    <w:p w:rsidR="002802A9" w:rsidRPr="00BE108E" w:rsidRDefault="002802A9" w:rsidP="002802A9">
      <w:r w:rsidRPr="00BE108E">
        <w:t>В отчетном периоде выполнено 785 рейсов железнодорожным транспортом пригородного сообщения. Автомобильным транспортом общего пользования перевезено 7831,3 тыс. пассажиров, в том числе льготных категорий граждан.</w:t>
      </w:r>
    </w:p>
    <w:p w:rsidR="002802A9" w:rsidRPr="00BE108E" w:rsidRDefault="002802A9" w:rsidP="002802A9">
      <w:r w:rsidRPr="00BE108E">
        <w:t>Было организовано авиационное и морское обслуживание жителей отдаленных поселений области. Авиатранспортом</w:t>
      </w:r>
      <w:r w:rsidR="000756AB" w:rsidRPr="00BE108E">
        <w:t xml:space="preserve"> </w:t>
      </w:r>
      <w:r w:rsidRPr="00BE108E">
        <w:t>было перевезено 5243 пассажира,</w:t>
      </w:r>
      <w:r w:rsidR="000756AB" w:rsidRPr="00BE108E">
        <w:t xml:space="preserve"> </w:t>
      </w:r>
      <w:r w:rsidRPr="00BE108E">
        <w:t>для</w:t>
      </w:r>
      <w:r w:rsidR="000756AB" w:rsidRPr="00BE108E">
        <w:t xml:space="preserve"> </w:t>
      </w:r>
      <w:r w:rsidRPr="00BE108E">
        <w:t>перевозки</w:t>
      </w:r>
      <w:r w:rsidR="000756AB" w:rsidRPr="00BE108E">
        <w:t xml:space="preserve"> </w:t>
      </w:r>
      <w:r w:rsidRPr="00BE108E">
        <w:t>пассажиров, грузов и багажа морским транспортом по маршруту «Мурманск-Островной-Мурманск» выполнено 53 рейса. В районы с ограниченными сроками завоза грузов доставлено 2411</w:t>
      </w:r>
      <w:r w:rsidR="000756AB" w:rsidRPr="00BE108E">
        <w:t xml:space="preserve"> </w:t>
      </w:r>
      <w:r w:rsidRPr="00BE108E">
        <w:t>тыс.</w:t>
      </w:r>
      <w:r w:rsidR="000756AB" w:rsidRPr="00BE108E">
        <w:t xml:space="preserve"> </w:t>
      </w:r>
      <w:r w:rsidRPr="00BE108E">
        <w:t>кг грузов.</w:t>
      </w:r>
    </w:p>
    <w:p w:rsidR="002802A9" w:rsidRPr="00BE108E" w:rsidRDefault="002802A9" w:rsidP="002802A9">
      <w:r w:rsidRPr="00BE108E">
        <w:t xml:space="preserve">Всего на 2014 год по государственной программе были предусмотрены к выполнению 28 показателей целей и задач, из которых 23 достигнуты с высокой степенью, 2 – со средней, 3 – с низкой. Средняя степень достижения показателей государственной программы – 97,7%. </w:t>
      </w:r>
    </w:p>
    <w:p w:rsidR="002802A9" w:rsidRPr="00BE108E" w:rsidRDefault="002802A9" w:rsidP="002802A9">
      <w:r w:rsidRPr="00BE108E">
        <w:t>В соответствии с утвержденной методикой интегральный показатель эффективности реализации государственной программы составляет 78,6%, что свидетельствует об</w:t>
      </w:r>
      <w:r w:rsidR="000756AB" w:rsidRPr="00BE108E">
        <w:t xml:space="preserve"> </w:t>
      </w:r>
      <w:r w:rsidRPr="00BE108E">
        <w:t>удовлетворительном уровне эффективности программы.</w:t>
      </w:r>
    </w:p>
    <w:p w:rsidR="00D25B2F" w:rsidRPr="00BE108E" w:rsidRDefault="00D25B2F" w:rsidP="000756AB">
      <w:pPr>
        <w:pStyle w:val="ConsPlusCell"/>
        <w:jc w:val="both"/>
        <w:rPr>
          <w:rStyle w:val="FontStyle14"/>
          <w:sz w:val="28"/>
          <w:szCs w:val="28"/>
        </w:rPr>
      </w:pPr>
    </w:p>
    <w:p w:rsidR="00DA522B" w:rsidRPr="00BE108E" w:rsidRDefault="00DA522B" w:rsidP="00DA522B">
      <w:pPr>
        <w:pStyle w:val="1"/>
      </w:pPr>
      <w:r w:rsidRPr="00BE108E">
        <w:t xml:space="preserve">Государственная программа 14 «Развитие экономического потенциала и формирование благоприятного предпринимательского климата» </w:t>
      </w:r>
    </w:p>
    <w:p w:rsidR="00D064E3" w:rsidRPr="00BE108E" w:rsidRDefault="00D064E3" w:rsidP="00D064E3">
      <w:pPr>
        <w:rPr>
          <w:rFonts w:cs="Times New Roman"/>
          <w:szCs w:val="28"/>
        </w:rPr>
      </w:pPr>
    </w:p>
    <w:p w:rsidR="00DA522B" w:rsidRPr="00BE108E" w:rsidRDefault="00D064E3" w:rsidP="00D064E3">
      <w:pPr>
        <w:autoSpaceDE w:val="0"/>
        <w:autoSpaceDN w:val="0"/>
        <w:adjustRightInd w:val="0"/>
        <w:ind w:firstLine="0"/>
        <w:jc w:val="center"/>
        <w:rPr>
          <w:rFonts w:cs="Times New Roman"/>
          <w:b/>
          <w:bCs/>
          <w:szCs w:val="28"/>
        </w:rPr>
      </w:pPr>
      <w:r w:rsidRPr="00BE108E">
        <w:rPr>
          <w:noProof/>
        </w:rPr>
        <w:drawing>
          <wp:inline distT="0" distB="0" distL="0" distR="0">
            <wp:extent cx="2445488" cy="3487479"/>
            <wp:effectExtent l="0" t="0" r="12065" b="1778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BE108E">
        <w:rPr>
          <w:noProof/>
        </w:rPr>
        <w:t xml:space="preserve"> </w:t>
      </w:r>
      <w:r w:rsidRPr="00BE108E">
        <w:rPr>
          <w:noProof/>
        </w:rPr>
        <w:drawing>
          <wp:inline distT="0" distB="0" distL="0" distR="0">
            <wp:extent cx="3561907" cy="3487479"/>
            <wp:effectExtent l="0" t="0" r="19685" b="1778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C13F31" w:rsidRDefault="00C13F31" w:rsidP="00C13F31">
      <w:pPr>
        <w:ind w:firstLine="0"/>
        <w:jc w:val="center"/>
        <w:rPr>
          <w:sz w:val="24"/>
        </w:rPr>
      </w:pPr>
      <w:r w:rsidRPr="00C13F31">
        <w:rPr>
          <w:sz w:val="24"/>
        </w:rPr>
        <w:t xml:space="preserve">Рисунок </w:t>
      </w:r>
      <w:r w:rsidR="00777563">
        <w:rPr>
          <w:sz w:val="24"/>
        </w:rPr>
        <w:t>18</w:t>
      </w:r>
    </w:p>
    <w:p w:rsidR="00C13F31" w:rsidRDefault="00C13F31" w:rsidP="00DA522B">
      <w:pPr>
        <w:rPr>
          <w:rFonts w:cs="Times New Roman"/>
          <w:szCs w:val="28"/>
        </w:rPr>
      </w:pPr>
    </w:p>
    <w:p w:rsidR="00DA522B" w:rsidRPr="00BE108E" w:rsidRDefault="00DA522B" w:rsidP="00DA522B">
      <w:pPr>
        <w:rPr>
          <w:rFonts w:cs="Times New Roman"/>
          <w:szCs w:val="28"/>
        </w:rPr>
      </w:pPr>
      <w:r w:rsidRPr="00BE108E">
        <w:rPr>
          <w:rFonts w:cs="Times New Roman"/>
          <w:szCs w:val="28"/>
        </w:rPr>
        <w:t xml:space="preserve">По состоянию на конец отчетного периода общий объем финансирования, запланированный на реализацию государственной программы, составил 711,5 млн. рублей. </w:t>
      </w:r>
    </w:p>
    <w:p w:rsidR="00DA522B" w:rsidRPr="00BE108E" w:rsidRDefault="00DA522B" w:rsidP="00DA522B">
      <w:pPr>
        <w:rPr>
          <w:rFonts w:cs="Times New Roman"/>
          <w:szCs w:val="28"/>
        </w:rPr>
      </w:pPr>
      <w:r w:rsidRPr="00BE108E">
        <w:rPr>
          <w:rFonts w:cs="Times New Roman"/>
          <w:szCs w:val="28"/>
        </w:rPr>
        <w:lastRenderedPageBreak/>
        <w:t>Общая сумма расходов за счет всех источников финансирования составила 688 млн. рублей (96,7% от предусмотренного объема), в том числе за счет средств областного бюджета – 318 млн. рублей (98,4%), федерального бюджета – 85,1 млн. рублей (83,1%), средств местных бюджетов – 64,2 млн. рублей (100%), внебюджетных источников – 220,7 млн. рублей (99,6%).</w:t>
      </w:r>
    </w:p>
    <w:p w:rsidR="00DA522B" w:rsidRPr="00BE108E" w:rsidRDefault="00DA522B" w:rsidP="00DA522B">
      <w:pPr>
        <w:rPr>
          <w:rFonts w:cs="Times New Roman"/>
          <w:szCs w:val="28"/>
        </w:rPr>
      </w:pPr>
      <w:r w:rsidRPr="00BE108E">
        <w:rPr>
          <w:rFonts w:cs="Times New Roman"/>
          <w:szCs w:val="28"/>
        </w:rPr>
        <w:t>В рамках реализации мероприятий по</w:t>
      </w:r>
      <w:r w:rsidRPr="00BE108E">
        <w:rPr>
          <w:rFonts w:cs="Times New Roman"/>
          <w:b/>
          <w:szCs w:val="28"/>
        </w:rPr>
        <w:t xml:space="preserve"> созданию благоприятных условий для привлечения инвестиций в экономику региона </w:t>
      </w:r>
      <w:r w:rsidRPr="00BE108E">
        <w:rPr>
          <w:rFonts w:cs="Times New Roman"/>
          <w:szCs w:val="28"/>
        </w:rPr>
        <w:t>завершен инвестиционный проект по строительству 8-местной скоростной гондольной канатной дороги на северном склоне горы Айкуайвенчорр в г. Кировск, реализованный через ОАО «Корпорация развития Мурманской области».</w:t>
      </w:r>
    </w:p>
    <w:p w:rsidR="00DA522B" w:rsidRPr="00BE108E" w:rsidRDefault="00DA522B" w:rsidP="00DA522B">
      <w:pPr>
        <w:rPr>
          <w:rFonts w:cs="Times New Roman"/>
          <w:szCs w:val="28"/>
        </w:rPr>
      </w:pPr>
      <w:r w:rsidRPr="00BE108E">
        <w:rPr>
          <w:rFonts w:cs="Times New Roman"/>
          <w:szCs w:val="28"/>
        </w:rPr>
        <w:t>Д</w:t>
      </w:r>
      <w:r w:rsidRPr="00BE108E">
        <w:rPr>
          <w:rFonts w:cs="Times New Roman"/>
          <w:bCs/>
          <w:szCs w:val="28"/>
        </w:rPr>
        <w:t>осрочно завершена работа по внедрению Стандарта деятельности органов исполнительной власти субъекта Российской Федерации по обеспечению благоприятного инвестиционного климата.</w:t>
      </w:r>
    </w:p>
    <w:p w:rsidR="00DA522B" w:rsidRPr="00BE108E" w:rsidRDefault="00DA522B" w:rsidP="00DA522B">
      <w:pPr>
        <w:rPr>
          <w:rFonts w:cs="Times New Roman"/>
          <w:szCs w:val="28"/>
        </w:rPr>
      </w:pPr>
      <w:r w:rsidRPr="00BE108E">
        <w:rPr>
          <w:rFonts w:cs="Times New Roman"/>
          <w:szCs w:val="28"/>
        </w:rPr>
        <w:t>Подписано 2 соглашения о поддержке Правительством Мурманской области инвестиционной деятельности в Мурманской области (ООО «Мончегорский Механический Завод» при реализации приоритетного инвестиционного проекта «Строительство мини-металлургического завода по производству мелющих шаров в г. Мончегорске Мурманской области», ООО «Кольский продукт» при реализации приоритетного инвестиционного проекта «Строительство тепличного комплекса по выращиванию овощей в г. Полярные Зори»). Вышеуказанным инвесторам в соответствии с заключенными соглашениями Правительством Мурманской области будет оказываться государственная поддержка в форме предоставления информационной и консультационной помощи.</w:t>
      </w:r>
    </w:p>
    <w:p w:rsidR="00DA522B" w:rsidRPr="00BE108E" w:rsidRDefault="00DA522B" w:rsidP="00DA522B">
      <w:pPr>
        <w:rPr>
          <w:rFonts w:cs="Times New Roman"/>
          <w:szCs w:val="28"/>
        </w:rPr>
      </w:pPr>
      <w:r w:rsidRPr="00BE108E">
        <w:rPr>
          <w:rFonts w:cs="Times New Roman"/>
          <w:szCs w:val="28"/>
        </w:rPr>
        <w:t>По результатам реализации мероприятий по упрощению и сокращению административных процедур, связанных со сбором и оформлением документов, необходимых для получения разрешения на строительство, с 350 дней в 2013 году до 200 дней в 2014 году сокращен предельный срок прохождения всех процедур, необходимых для получения разрешения на строительство эталонного объекта капитального строительства непроизводственного назначения.</w:t>
      </w:r>
    </w:p>
    <w:p w:rsidR="00DA522B" w:rsidRPr="00BE108E" w:rsidRDefault="00DA522B" w:rsidP="00DA522B">
      <w:pPr>
        <w:rPr>
          <w:rFonts w:cs="Times New Roman"/>
          <w:szCs w:val="28"/>
        </w:rPr>
      </w:pPr>
      <w:r w:rsidRPr="00BE108E">
        <w:rPr>
          <w:rFonts w:cs="Times New Roman"/>
          <w:szCs w:val="28"/>
        </w:rPr>
        <w:t>В рамках проведения мероприятий по формированию информации об инвестиционном потенциале муниципальных образований актуализированы комплексные инвестиционные планы моногородов Мурманской области, проведено согласование инвестиционных паспортов всех городских округов и муниципальных районов Мурманской области, проведен мониторинг инвестиционной привлекательности и активности муниципальных образований. Опыт Мурманской области вошел в сборник лучших управленческих решений региональных органов власти по развитию инвестиционной среды, подготовленный МЭР РФ.</w:t>
      </w:r>
    </w:p>
    <w:p w:rsidR="00DA522B" w:rsidRPr="00BE108E" w:rsidRDefault="00DA522B" w:rsidP="00DA522B">
      <w:pPr>
        <w:rPr>
          <w:rFonts w:cs="Times New Roman"/>
          <w:szCs w:val="28"/>
        </w:rPr>
      </w:pPr>
      <w:r w:rsidRPr="00BE108E">
        <w:rPr>
          <w:rFonts w:cs="Times New Roman"/>
          <w:szCs w:val="28"/>
        </w:rPr>
        <w:t>В рамках</w:t>
      </w:r>
      <w:r w:rsidRPr="00BE108E">
        <w:rPr>
          <w:rFonts w:cs="Times New Roman"/>
          <w:b/>
          <w:szCs w:val="28"/>
        </w:rPr>
        <w:t xml:space="preserve"> повышения предпринимательской активности и развития малого и среднего бизнеса</w:t>
      </w:r>
      <w:r w:rsidRPr="00BE108E">
        <w:rPr>
          <w:rFonts w:cs="Times New Roman"/>
          <w:szCs w:val="28"/>
        </w:rPr>
        <w:t xml:space="preserve"> </w:t>
      </w:r>
      <w:r w:rsidRPr="00BE108E">
        <w:rPr>
          <w:rFonts w:cs="Times New Roman"/>
          <w:color w:val="000000"/>
          <w:szCs w:val="28"/>
        </w:rPr>
        <w:t xml:space="preserve">государственную финансовую поддержку получили 398 субъектов малого и среднего предпринимательства (в 2013 году – 370). Была </w:t>
      </w:r>
      <w:r w:rsidRPr="00BE108E">
        <w:rPr>
          <w:rFonts w:cs="Times New Roman"/>
          <w:szCs w:val="28"/>
        </w:rPr>
        <w:t xml:space="preserve">введена новая целевая форма государственной поддержки – субсидии предприятиям, ориентированным на решение социальных проблем, </w:t>
      </w:r>
      <w:r w:rsidRPr="00BE108E">
        <w:rPr>
          <w:rFonts w:cs="Times New Roman"/>
          <w:szCs w:val="28"/>
        </w:rPr>
        <w:lastRenderedPageBreak/>
        <w:t>впервые в Мурманской области субъектам малого и среднего предпринимательства оказана финансовая поддержка на возмещение затрат связанных с «северным удорожанием» при производстве товаров, работ и услуг на территории Мурманской области (субсидию в размере 200 тыс. рублей получили 5 субъектов МСП).</w:t>
      </w:r>
    </w:p>
    <w:p w:rsidR="00DA522B" w:rsidRPr="00BE108E" w:rsidRDefault="00DA522B" w:rsidP="00DA522B">
      <w:pPr>
        <w:rPr>
          <w:rFonts w:cs="Times New Roman"/>
          <w:color w:val="000000"/>
          <w:szCs w:val="28"/>
        </w:rPr>
      </w:pPr>
      <w:r w:rsidRPr="00BE108E">
        <w:rPr>
          <w:rFonts w:cs="Times New Roman"/>
          <w:color w:val="000000"/>
          <w:szCs w:val="28"/>
        </w:rPr>
        <w:t>370 субъектов малого и среднего предпринимательства получили</w:t>
      </w:r>
      <w:r w:rsidR="006D111C" w:rsidRPr="00BE108E">
        <w:rPr>
          <w:rFonts w:cs="Times New Roman"/>
          <w:color w:val="000000"/>
          <w:szCs w:val="28"/>
        </w:rPr>
        <w:t xml:space="preserve"> </w:t>
      </w:r>
      <w:r w:rsidRPr="00BE108E">
        <w:rPr>
          <w:rFonts w:cs="Times New Roman"/>
          <w:color w:val="000000"/>
          <w:szCs w:val="28"/>
        </w:rPr>
        <w:t>информационную, консультационную поддержку, а также поддержку в области подготовки, переподготовки и повышения квалификации кадров в объектах инфраструктуры поддержки малого и среднего предпринимательства.</w:t>
      </w:r>
    </w:p>
    <w:p w:rsidR="00DA522B" w:rsidRPr="00464DC4" w:rsidRDefault="00DA522B" w:rsidP="00DA522B">
      <w:pPr>
        <w:rPr>
          <w:rFonts w:cs="Times New Roman"/>
          <w:color w:val="000000"/>
          <w:szCs w:val="28"/>
        </w:rPr>
      </w:pPr>
      <w:r w:rsidRPr="00464DC4">
        <w:rPr>
          <w:rFonts w:cs="Times New Roman"/>
          <w:color w:val="000000"/>
          <w:szCs w:val="28"/>
        </w:rPr>
        <w:t>10 муниципальных образований стали получателями субсидий по результатам конкурсного отбора муниципальных образований Мурманской области на софинансирование из областного бюджета мероприятий по реализации муниципальных программ развития предпринимательства.</w:t>
      </w:r>
    </w:p>
    <w:p w:rsidR="00464DC4" w:rsidRDefault="00464DC4" w:rsidP="00DA522B">
      <w:pPr>
        <w:rPr>
          <w:rFonts w:cs="Times New Roman"/>
          <w:szCs w:val="28"/>
        </w:rPr>
      </w:pPr>
      <w:r w:rsidRPr="00464DC4">
        <w:rPr>
          <w:rFonts w:cs="Times New Roman"/>
          <w:szCs w:val="28"/>
        </w:rPr>
        <w:t>В рамках оказания имущественной поддержки субъектам малого и среднего предпринимательства, осуществляющим социально значимые и приоритетные виды деятельности, по решению Министерства имущественных отношений Мурманской области зарегистрировано 46 договоров на предоставление в аренду государственного имущества Мурманской области субъектам малого и среднего бизнеса.</w:t>
      </w:r>
      <w:r w:rsidRPr="00BE108E">
        <w:rPr>
          <w:rFonts w:cs="Times New Roman"/>
          <w:szCs w:val="28"/>
        </w:rPr>
        <w:t xml:space="preserve"> </w:t>
      </w:r>
    </w:p>
    <w:p w:rsidR="00DA522B" w:rsidRPr="00BE108E" w:rsidRDefault="00DA522B" w:rsidP="00DA522B">
      <w:pPr>
        <w:rPr>
          <w:rFonts w:cs="Times New Roman"/>
          <w:szCs w:val="28"/>
        </w:rPr>
      </w:pPr>
      <w:r w:rsidRPr="00BE108E">
        <w:rPr>
          <w:rFonts w:cs="Times New Roman"/>
          <w:szCs w:val="28"/>
        </w:rPr>
        <w:t>В соответствии с запланированными мероприятиями по</w:t>
      </w:r>
      <w:r w:rsidRPr="00BE108E">
        <w:rPr>
          <w:rFonts w:cs="Times New Roman"/>
          <w:b/>
          <w:szCs w:val="28"/>
        </w:rPr>
        <w:t xml:space="preserve"> формированию условий для развития промышленности, инновационной и научно-технической деятельности организаций </w:t>
      </w:r>
      <w:r w:rsidRPr="00BE108E">
        <w:rPr>
          <w:rFonts w:cs="Times New Roman"/>
          <w:szCs w:val="28"/>
        </w:rPr>
        <w:t>создан региональный Центр кластерного развития Мурманской области.</w:t>
      </w:r>
    </w:p>
    <w:p w:rsidR="00DA522B" w:rsidRPr="00BE108E" w:rsidRDefault="00DA522B" w:rsidP="00DA522B">
      <w:pPr>
        <w:rPr>
          <w:rFonts w:cs="Times New Roman"/>
          <w:bCs/>
          <w:szCs w:val="28"/>
        </w:rPr>
      </w:pPr>
      <w:r w:rsidRPr="00BE108E">
        <w:rPr>
          <w:rFonts w:cs="Times New Roman"/>
          <w:szCs w:val="28"/>
        </w:rPr>
        <w:t xml:space="preserve">Принят </w:t>
      </w:r>
      <w:r w:rsidRPr="00BE108E">
        <w:rPr>
          <w:rFonts w:cs="Times New Roman"/>
          <w:bCs/>
          <w:szCs w:val="28"/>
        </w:rPr>
        <w:t>Закон Мурманской области «О государственной поддержке инновационной деятельности на территории Мурманской области и о внесении изменений в отдельные законодательные акты Мурманской области».</w:t>
      </w:r>
    </w:p>
    <w:p w:rsidR="00DA522B" w:rsidRPr="00BE108E" w:rsidRDefault="00DA522B" w:rsidP="00DA522B">
      <w:pPr>
        <w:rPr>
          <w:rFonts w:cs="Times New Roman"/>
          <w:szCs w:val="28"/>
        </w:rPr>
      </w:pPr>
      <w:r w:rsidRPr="00BE108E">
        <w:rPr>
          <w:rFonts w:cs="Times New Roman"/>
          <w:szCs w:val="28"/>
        </w:rPr>
        <w:t xml:space="preserve">По результатам конкурса на предоставление финансовой поддержки из областного бюджета начинающим и действующим </w:t>
      </w:r>
      <w:proofErr w:type="spellStart"/>
      <w:r w:rsidRPr="00BE108E">
        <w:rPr>
          <w:rFonts w:cs="Times New Roman"/>
          <w:szCs w:val="28"/>
        </w:rPr>
        <w:t>инноваторам</w:t>
      </w:r>
      <w:proofErr w:type="spellEnd"/>
      <w:r w:rsidRPr="00BE108E">
        <w:rPr>
          <w:rFonts w:cs="Times New Roman"/>
          <w:szCs w:val="28"/>
        </w:rPr>
        <w:t xml:space="preserve"> была оказана поддержка двум инновационным компаниям на общую сумму 1 млн. рублей (размер гранта </w:t>
      </w:r>
      <w:r w:rsidR="00E971DB" w:rsidRPr="00BE108E">
        <w:rPr>
          <w:rFonts w:cs="Times New Roman"/>
          <w:szCs w:val="28"/>
        </w:rPr>
        <w:t xml:space="preserve">– </w:t>
      </w:r>
      <w:r w:rsidRPr="00BE108E">
        <w:rPr>
          <w:rFonts w:cs="Times New Roman"/>
          <w:szCs w:val="28"/>
        </w:rPr>
        <w:t>500</w:t>
      </w:r>
      <w:r w:rsidR="00E971DB" w:rsidRPr="00BE108E">
        <w:rPr>
          <w:rFonts w:cs="Times New Roman"/>
          <w:szCs w:val="28"/>
        </w:rPr>
        <w:t xml:space="preserve"> </w:t>
      </w:r>
      <w:r w:rsidRPr="00BE108E">
        <w:rPr>
          <w:rFonts w:cs="Times New Roman"/>
          <w:szCs w:val="28"/>
        </w:rPr>
        <w:t>тыс. рублей на одного получателя).</w:t>
      </w:r>
    </w:p>
    <w:p w:rsidR="00DA522B" w:rsidRPr="00BE108E" w:rsidRDefault="00DA522B" w:rsidP="00DA522B">
      <w:pPr>
        <w:rPr>
          <w:rFonts w:cs="Times New Roman"/>
          <w:szCs w:val="28"/>
        </w:rPr>
      </w:pPr>
      <w:r w:rsidRPr="00BE108E">
        <w:rPr>
          <w:rFonts w:cs="Times New Roman"/>
          <w:szCs w:val="28"/>
        </w:rPr>
        <w:t>Совместно с Российским фондом фундаментальных исследований и Российским гуманитарным научным фондом было поддержано 28 проектов на общую сумму 7 млн. рублей, победивших в региональных конкурсах проектов научных исследований.</w:t>
      </w:r>
    </w:p>
    <w:p w:rsidR="00DA522B" w:rsidRPr="00BE108E" w:rsidRDefault="00DA522B" w:rsidP="00DA522B">
      <w:pPr>
        <w:rPr>
          <w:rFonts w:cs="Times New Roman"/>
          <w:szCs w:val="28"/>
        </w:rPr>
      </w:pPr>
      <w:r w:rsidRPr="00BE108E">
        <w:rPr>
          <w:rFonts w:cs="Times New Roman"/>
          <w:szCs w:val="28"/>
        </w:rPr>
        <w:t>Проведен региональный молодежный форум «Молодая наука Заполярья», по итогам которого издан сборник научных трудов.</w:t>
      </w:r>
    </w:p>
    <w:p w:rsidR="00DA522B" w:rsidRPr="00BE108E" w:rsidRDefault="00DA522B" w:rsidP="00DA522B">
      <w:pPr>
        <w:rPr>
          <w:rFonts w:cs="Times New Roman"/>
          <w:szCs w:val="28"/>
        </w:rPr>
      </w:pPr>
      <w:r w:rsidRPr="00BE108E">
        <w:rPr>
          <w:rFonts w:cs="Times New Roman"/>
          <w:szCs w:val="28"/>
        </w:rPr>
        <w:t>По причине отсутствия заявок, удовлетворяющих критериям конкурсного отбора, не была предоставлена субсидия на возмещение затрат или недополученных доходов в связи с производством (реализацией) товаров, выполнением работ, оказанием услуг инновационными компаниями, а также грант на подготовку заявок в специализированные, в том числе венчурные, фонды и организации, финансирующие инновационные проекты.</w:t>
      </w:r>
    </w:p>
    <w:p w:rsidR="00DA522B" w:rsidRPr="00BE108E" w:rsidRDefault="00DA522B" w:rsidP="00DA522B">
      <w:pPr>
        <w:rPr>
          <w:rFonts w:cs="Times New Roman"/>
          <w:szCs w:val="28"/>
        </w:rPr>
      </w:pPr>
      <w:r w:rsidRPr="00BE108E">
        <w:rPr>
          <w:rStyle w:val="FontStyle21"/>
          <w:sz w:val="28"/>
          <w:szCs w:val="28"/>
        </w:rPr>
        <w:t xml:space="preserve">В рамках </w:t>
      </w:r>
      <w:r w:rsidRPr="00BE108E">
        <w:rPr>
          <w:rStyle w:val="FontStyle21"/>
          <w:b/>
          <w:sz w:val="28"/>
          <w:szCs w:val="28"/>
        </w:rPr>
        <w:t>поддержки конгрессно-выставочной деятельности в регионе, координации внешнеэкономических и межрегиональных связей, приграничного экономического сотрудничества</w:t>
      </w:r>
      <w:r w:rsidRPr="00BE108E">
        <w:rPr>
          <w:rStyle w:val="FontStyle21"/>
          <w:sz w:val="28"/>
          <w:szCs w:val="28"/>
        </w:rPr>
        <w:t xml:space="preserve"> организовано </w:t>
      </w:r>
      <w:r w:rsidRPr="00BE108E">
        <w:rPr>
          <w:rFonts w:cs="Times New Roman"/>
          <w:szCs w:val="28"/>
        </w:rPr>
        <w:t xml:space="preserve">проведение </w:t>
      </w:r>
      <w:r w:rsidRPr="00BE108E">
        <w:rPr>
          <w:rFonts w:cs="Times New Roman"/>
          <w:szCs w:val="28"/>
        </w:rPr>
        <w:lastRenderedPageBreak/>
        <w:t>более 30 мероприятий с участием субъектов внешнеэкономической деятельности, в которых приняли участие более 800 организаций и предприятий, выставочные мероприятия посетили более 78 тыс. человек.</w:t>
      </w:r>
    </w:p>
    <w:p w:rsidR="00DA522B" w:rsidRPr="00BE108E" w:rsidRDefault="00DA522B" w:rsidP="00DA522B">
      <w:pPr>
        <w:rPr>
          <w:rFonts w:cs="Times New Roman"/>
          <w:szCs w:val="28"/>
        </w:rPr>
      </w:pPr>
      <w:r w:rsidRPr="00BE108E">
        <w:rPr>
          <w:rFonts w:cs="Times New Roman"/>
          <w:szCs w:val="28"/>
        </w:rPr>
        <w:t>Значительным событием года стала III Мурманская международная деловая неделя, включающая в себя пленарное заседание «Арктическим курсом: новые вызовы и возможности», туристическую площадку «Сделано в Арктике», международные конференции «Освоение Арктического шельфа: шаг за шагом» и «Горнодобывающая промышленность Баренцева Евро/Арктического региона: взгляд в будущее», международную выставку «</w:t>
      </w:r>
      <w:proofErr w:type="spellStart"/>
      <w:r w:rsidRPr="00BE108E">
        <w:rPr>
          <w:rFonts w:cs="Times New Roman"/>
          <w:szCs w:val="28"/>
        </w:rPr>
        <w:t>SevTec</w:t>
      </w:r>
      <w:proofErr w:type="spellEnd"/>
      <w:r w:rsidRPr="00BE108E">
        <w:rPr>
          <w:rFonts w:cs="Times New Roman"/>
          <w:szCs w:val="28"/>
        </w:rPr>
        <w:t xml:space="preserve"> - технологии и оборудование для Арктической зоны».</w:t>
      </w:r>
    </w:p>
    <w:p w:rsidR="00DA522B" w:rsidRPr="00BE108E" w:rsidRDefault="00DA522B" w:rsidP="00DA522B">
      <w:pPr>
        <w:rPr>
          <w:rFonts w:cs="Times New Roman"/>
          <w:szCs w:val="28"/>
        </w:rPr>
      </w:pPr>
      <w:r w:rsidRPr="00BE108E">
        <w:rPr>
          <w:rFonts w:cs="Times New Roman"/>
          <w:szCs w:val="28"/>
        </w:rPr>
        <w:t xml:space="preserve">В 2014 году на территории области реализовывались 97 международных проектов, в том числе 48 проектов программы приграничного сотрудничества в рамках Европейского Соседства и Партнерства «ЕИСП - ПС Коларктик 2007-2013», координация </w:t>
      </w:r>
      <w:r w:rsidR="00777563">
        <w:rPr>
          <w:rFonts w:cs="Times New Roman"/>
          <w:szCs w:val="28"/>
        </w:rPr>
        <w:t>реализации</w:t>
      </w:r>
      <w:r w:rsidRPr="00BE108E">
        <w:rPr>
          <w:rFonts w:cs="Times New Roman"/>
          <w:szCs w:val="28"/>
        </w:rPr>
        <w:t xml:space="preserve"> которой осуществлялась в рамках программы.</w:t>
      </w:r>
    </w:p>
    <w:p w:rsidR="00DA522B" w:rsidRPr="00BE108E" w:rsidRDefault="00DA522B" w:rsidP="00DA522B">
      <w:pPr>
        <w:rPr>
          <w:rFonts w:cs="Times New Roman"/>
          <w:szCs w:val="28"/>
        </w:rPr>
      </w:pPr>
      <w:r w:rsidRPr="00BE108E">
        <w:rPr>
          <w:rStyle w:val="FontStyle21"/>
          <w:sz w:val="28"/>
          <w:szCs w:val="28"/>
        </w:rPr>
        <w:t xml:space="preserve">В рамках </w:t>
      </w:r>
      <w:r w:rsidRPr="00BE108E">
        <w:rPr>
          <w:rStyle w:val="FontStyle21"/>
          <w:b/>
          <w:sz w:val="28"/>
          <w:szCs w:val="28"/>
        </w:rPr>
        <w:t xml:space="preserve">создания условий для развития туристской инфраструктуры и повышения качества предоставляемых туристических услуг </w:t>
      </w:r>
      <w:r w:rsidRPr="00BE108E">
        <w:rPr>
          <w:rFonts w:cs="Times New Roman"/>
          <w:szCs w:val="28"/>
        </w:rPr>
        <w:t>организована работа по формированию туристско-рекреационного кластера «Хибины» в рамках государственно-частного партнерства. В 2014 году была создана рабочая группа, в состав которой вошли представители исполнительных органов государственной власти и органов местного самоуправления Мурманской области.</w:t>
      </w:r>
    </w:p>
    <w:p w:rsidR="00DA522B" w:rsidRPr="00BE108E" w:rsidRDefault="00DA522B" w:rsidP="00DA522B">
      <w:pPr>
        <w:rPr>
          <w:rFonts w:cs="Times New Roman"/>
          <w:szCs w:val="28"/>
        </w:rPr>
      </w:pPr>
      <w:r w:rsidRPr="00BE108E">
        <w:rPr>
          <w:rFonts w:cs="Times New Roman"/>
          <w:szCs w:val="28"/>
        </w:rPr>
        <w:t xml:space="preserve">Итогом проведенной работы стало включение укрупненного инвестиционного проекта «Создание туристско-рекреационного кластера «Хибины» в Реестр инвестиционных проектов субъектов РФ ФЦП «Развитие внутреннего и въездного туризма в Российской Федерации (2011-2018 годы)» как перспективного проекта. </w:t>
      </w:r>
    </w:p>
    <w:p w:rsidR="00DA522B" w:rsidRPr="00BE108E" w:rsidRDefault="00DA522B" w:rsidP="00DA522B">
      <w:pPr>
        <w:rPr>
          <w:rFonts w:cs="Times New Roman"/>
          <w:szCs w:val="28"/>
        </w:rPr>
      </w:pPr>
      <w:r w:rsidRPr="00BE108E">
        <w:rPr>
          <w:rFonts w:cs="Times New Roman"/>
          <w:szCs w:val="28"/>
        </w:rPr>
        <w:t>В рамках государственной поддержки развития туризма на конкурсной основе 9 субъектам туриндустрии предоставлены субсидии из областного бюджета в сумме 4 млн. рублей на реализацию проектов по развитию туристических баз и баз отдыха, организации снегоходных туров, развитию инфраструктуры приема туристов. Объем привлеченных инвестиций на реализацию данных проектов за счет внебюджетных источников составит 21,3 млн. руб.</w:t>
      </w:r>
    </w:p>
    <w:p w:rsidR="00DA522B" w:rsidRPr="00BE108E" w:rsidRDefault="00DA522B" w:rsidP="00DA522B">
      <w:pPr>
        <w:rPr>
          <w:rFonts w:cs="Times New Roman"/>
          <w:szCs w:val="28"/>
        </w:rPr>
      </w:pPr>
      <w:r w:rsidRPr="00BE108E">
        <w:rPr>
          <w:rFonts w:cs="Times New Roman"/>
          <w:szCs w:val="28"/>
        </w:rPr>
        <w:t>Впервые проведен конкурсный отбор событийных мероприятий туристской направленности. По результатам рейтинговой оценки претендентов определены победители по двум номинациям: «Этнокультурный туризм» и «Активный природный туризм», компенсированы затраты на проведение 6-ти событийных мероприятий Мурманской области, организаторам выданы субсидии на сумму 585 тыс. рублей. При этом общий объем затрат организаторов составил более 1 млн. руб.</w:t>
      </w:r>
    </w:p>
    <w:p w:rsidR="00DA522B" w:rsidRPr="00BE108E" w:rsidRDefault="00DA522B" w:rsidP="00DA522B">
      <w:pPr>
        <w:rPr>
          <w:rFonts w:cs="Times New Roman"/>
          <w:szCs w:val="28"/>
        </w:rPr>
      </w:pPr>
      <w:r w:rsidRPr="00BE108E">
        <w:rPr>
          <w:rFonts w:cs="Times New Roman"/>
          <w:szCs w:val="28"/>
        </w:rPr>
        <w:t>Организован и проведен в два тура региональный конкурс «Лучшие в туриндустрии». Победителями признаны 6 субъектов туриндустрии в различных номинациях, наиболее активные представители туристической отрасли награждены почетными дипломами.</w:t>
      </w:r>
    </w:p>
    <w:p w:rsidR="00DA522B" w:rsidRPr="00BE108E" w:rsidRDefault="00DA522B" w:rsidP="00DA522B">
      <w:pPr>
        <w:rPr>
          <w:rFonts w:cs="Times New Roman"/>
          <w:szCs w:val="28"/>
        </w:rPr>
      </w:pPr>
      <w:r w:rsidRPr="00777563">
        <w:rPr>
          <w:rStyle w:val="FontStyle21"/>
          <w:color w:val="000000"/>
          <w:sz w:val="28"/>
          <w:szCs w:val="28"/>
        </w:rPr>
        <w:lastRenderedPageBreak/>
        <w:t>В рамках</w:t>
      </w:r>
      <w:r w:rsidRPr="00BE108E">
        <w:rPr>
          <w:rStyle w:val="FontStyle21"/>
          <w:b/>
          <w:color w:val="000000"/>
          <w:sz w:val="28"/>
          <w:szCs w:val="28"/>
        </w:rPr>
        <w:t xml:space="preserve"> содействия развитию торговой деятельности в регионе</w:t>
      </w:r>
      <w:r w:rsidRPr="00BE108E">
        <w:rPr>
          <w:rFonts w:cs="Times New Roman"/>
          <w:szCs w:val="28"/>
        </w:rPr>
        <w:t xml:space="preserve"> разработан и реализуется совместно с </w:t>
      </w:r>
      <w:r w:rsidR="0083380D" w:rsidRPr="00BE108E">
        <w:rPr>
          <w:rFonts w:cs="Times New Roman"/>
          <w:szCs w:val="28"/>
        </w:rPr>
        <w:t>исполнительными органами государственной власти</w:t>
      </w:r>
      <w:r w:rsidRPr="00BE108E">
        <w:rPr>
          <w:rFonts w:cs="Times New Roman"/>
          <w:szCs w:val="28"/>
        </w:rPr>
        <w:t xml:space="preserve"> </w:t>
      </w:r>
      <w:r w:rsidR="0083380D" w:rsidRPr="00BE108E">
        <w:rPr>
          <w:rFonts w:cs="Times New Roman"/>
          <w:szCs w:val="28"/>
        </w:rPr>
        <w:t xml:space="preserve">(далее – </w:t>
      </w:r>
      <w:r w:rsidRPr="00BE108E">
        <w:rPr>
          <w:rFonts w:cs="Times New Roman"/>
          <w:szCs w:val="28"/>
        </w:rPr>
        <w:t>ИОГВ</w:t>
      </w:r>
      <w:r w:rsidR="0083380D" w:rsidRPr="00BE108E">
        <w:rPr>
          <w:rFonts w:cs="Times New Roman"/>
          <w:szCs w:val="28"/>
        </w:rPr>
        <w:t>)</w:t>
      </w:r>
      <w:r w:rsidRPr="00BE108E">
        <w:rPr>
          <w:rFonts w:cs="Times New Roman"/>
          <w:szCs w:val="28"/>
        </w:rPr>
        <w:t xml:space="preserve"> и органами местного самоуправления </w:t>
      </w:r>
      <w:r w:rsidR="0083380D" w:rsidRPr="00BE108E">
        <w:rPr>
          <w:rFonts w:cs="Times New Roman"/>
          <w:szCs w:val="28"/>
        </w:rPr>
        <w:t xml:space="preserve">Мурманской области </w:t>
      </w:r>
      <w:r w:rsidRPr="00BE108E">
        <w:rPr>
          <w:rFonts w:cs="Times New Roman"/>
          <w:szCs w:val="28"/>
        </w:rPr>
        <w:t xml:space="preserve">план развития торговли на 2014-2016 годы. </w:t>
      </w:r>
    </w:p>
    <w:p w:rsidR="00DA522B" w:rsidRPr="00BE108E" w:rsidRDefault="00DA522B" w:rsidP="00DA522B">
      <w:pPr>
        <w:rPr>
          <w:rFonts w:cs="Times New Roman"/>
          <w:bCs/>
          <w:iCs/>
          <w:szCs w:val="28"/>
        </w:rPr>
      </w:pPr>
      <w:r w:rsidRPr="00BE108E">
        <w:rPr>
          <w:rFonts w:cs="Times New Roman"/>
          <w:bCs/>
          <w:iCs/>
          <w:szCs w:val="28"/>
        </w:rPr>
        <w:t xml:space="preserve">Создан штаб по мониторингу и реагированию на изменение конъюнктуры продовольственных рынков региона. С августа 2014 года в целях </w:t>
      </w:r>
      <w:r w:rsidRPr="00BE108E">
        <w:rPr>
          <w:rFonts w:cs="Times New Roman"/>
          <w:szCs w:val="28"/>
        </w:rPr>
        <w:t xml:space="preserve">постоянного наблюдения за ценами на социально значимые продукты питания </w:t>
      </w:r>
      <w:r w:rsidRPr="00BE108E">
        <w:rPr>
          <w:rFonts w:cs="Times New Roman"/>
          <w:bCs/>
          <w:iCs/>
          <w:szCs w:val="28"/>
        </w:rPr>
        <w:t>проведено 99 ежедневных и 19 еженедельных мониторингов изменения потребительских цен на фиксированный набор продуктов питания (40 наименований) во всех 17 муниципальных образованиях региона (148 объектов торговли).</w:t>
      </w:r>
    </w:p>
    <w:p w:rsidR="00DA522B" w:rsidRPr="00BE108E" w:rsidRDefault="00DA522B" w:rsidP="00DA522B">
      <w:pPr>
        <w:rPr>
          <w:rFonts w:cs="Times New Roman"/>
          <w:bCs/>
          <w:iCs/>
          <w:szCs w:val="28"/>
        </w:rPr>
      </w:pPr>
      <w:r w:rsidRPr="00777563">
        <w:rPr>
          <w:rStyle w:val="FontStyle21"/>
          <w:sz w:val="28"/>
          <w:szCs w:val="28"/>
        </w:rPr>
        <w:t xml:space="preserve">В </w:t>
      </w:r>
      <w:r w:rsidR="00777563">
        <w:rPr>
          <w:rStyle w:val="FontStyle21"/>
          <w:sz w:val="28"/>
          <w:szCs w:val="28"/>
        </w:rPr>
        <w:t>рамках</w:t>
      </w:r>
      <w:r w:rsidRPr="00BE108E">
        <w:rPr>
          <w:rStyle w:val="FontStyle21"/>
          <w:b/>
          <w:sz w:val="28"/>
          <w:szCs w:val="28"/>
        </w:rPr>
        <w:t xml:space="preserve"> совершенствования форм и методов регулирования социально-экономических процессов в регионе</w:t>
      </w:r>
      <w:r w:rsidRPr="00BE108E">
        <w:rPr>
          <w:rFonts w:cs="Times New Roman"/>
          <w:szCs w:val="28"/>
        </w:rPr>
        <w:t xml:space="preserve"> </w:t>
      </w:r>
      <w:r w:rsidRPr="00BE108E">
        <w:rPr>
          <w:rFonts w:cs="Times New Roman"/>
          <w:bCs/>
          <w:iCs/>
          <w:szCs w:val="28"/>
        </w:rPr>
        <w:t xml:space="preserve">разработан и принят Закон Мурманской области от 19.12.2014 № 1817-01-ЗМО «О стратегическом планировании в Мурманской области», устанавливающий правовые основы стратегического планирования в Мурманской области. </w:t>
      </w:r>
    </w:p>
    <w:p w:rsidR="00DA522B" w:rsidRPr="00BE108E" w:rsidRDefault="00DA522B" w:rsidP="00DA522B">
      <w:pPr>
        <w:rPr>
          <w:rFonts w:cs="Times New Roman"/>
          <w:szCs w:val="28"/>
        </w:rPr>
      </w:pPr>
      <w:r w:rsidRPr="00BE108E">
        <w:rPr>
          <w:rFonts w:cs="Times New Roman"/>
          <w:szCs w:val="28"/>
        </w:rPr>
        <w:t>В два этапа в установленные сроки был разработан прогноз социально-экономического развития области на 2015 год и на плановый период 2016-2017 годов, который одновременно с проектом областного бюджета в октябре 2014 года представлен в Мурманскую областную Думу, а также в Минэкономразвития России.</w:t>
      </w:r>
    </w:p>
    <w:p w:rsidR="00DA522B" w:rsidRPr="00BE108E" w:rsidRDefault="00DA522B" w:rsidP="00DA522B">
      <w:pPr>
        <w:rPr>
          <w:rFonts w:cs="Times New Roman"/>
          <w:szCs w:val="28"/>
        </w:rPr>
      </w:pPr>
      <w:r w:rsidRPr="00BE108E">
        <w:rPr>
          <w:rFonts w:cs="Times New Roman"/>
          <w:szCs w:val="28"/>
        </w:rPr>
        <w:t>В рамках организации работы по реализации Стратегии социально-экономического развития Мурманской области до 2020 года и на период до 2025 года, совместно с ИОГВ Мурманской области, разработан и утвержден План мероприятий по реализации Стратегии социально-экономического развития Мурманской области до 2020 года и на период до 2025 года.</w:t>
      </w:r>
    </w:p>
    <w:p w:rsidR="00DA522B" w:rsidRPr="00BE108E" w:rsidRDefault="00DA522B" w:rsidP="00DA522B">
      <w:pPr>
        <w:rPr>
          <w:rFonts w:cs="Times New Roman"/>
          <w:szCs w:val="28"/>
        </w:rPr>
      </w:pPr>
      <w:r w:rsidRPr="00BE108E">
        <w:rPr>
          <w:rFonts w:cs="Times New Roman"/>
          <w:szCs w:val="28"/>
        </w:rPr>
        <w:t>С учетом необходимости ресурсного обеспечения, положения Стратегии, мероприятия, направленные на е</w:t>
      </w:r>
      <w:r w:rsidR="00E971DB" w:rsidRPr="00BE108E">
        <w:rPr>
          <w:rFonts w:cs="Times New Roman"/>
          <w:szCs w:val="28"/>
        </w:rPr>
        <w:t>е</w:t>
      </w:r>
      <w:r w:rsidRPr="00BE108E">
        <w:rPr>
          <w:rFonts w:cs="Times New Roman"/>
          <w:szCs w:val="28"/>
        </w:rPr>
        <w:t xml:space="preserve"> реализацию, детализированы в государственных программах Мурманской области.</w:t>
      </w:r>
    </w:p>
    <w:p w:rsidR="00DA522B" w:rsidRPr="00BE108E" w:rsidRDefault="00DA522B" w:rsidP="00DA522B">
      <w:pPr>
        <w:rPr>
          <w:rFonts w:cs="Times New Roman"/>
          <w:strike/>
          <w:szCs w:val="28"/>
        </w:rPr>
      </w:pPr>
      <w:r w:rsidRPr="00BE108E">
        <w:rPr>
          <w:rFonts w:cs="Times New Roman"/>
          <w:szCs w:val="28"/>
        </w:rPr>
        <w:t xml:space="preserve">Для координации деятельности исполнительных органов государственной власти Мурманской области по исполнению указов Президента Российской Федерации от 07.05.2012 в течение года были организованы и проведены 4 заседания межведомственной комиссии по мониторингу достижения показателей, определенных в «майских» указах Президента России, 2 информационных семинара, видеоконференция по вопросу применения Методических рекомендаций органами местного самоуправления региона для организации работы по исполнению «майских» указов Президента России. </w:t>
      </w:r>
    </w:p>
    <w:p w:rsidR="00DA522B" w:rsidRPr="00BE108E" w:rsidRDefault="00DA522B" w:rsidP="00DA522B">
      <w:pPr>
        <w:rPr>
          <w:rFonts w:cs="Times New Roman"/>
          <w:szCs w:val="28"/>
        </w:rPr>
      </w:pPr>
      <w:r w:rsidRPr="00BE108E">
        <w:rPr>
          <w:rFonts w:cs="Times New Roman"/>
          <w:szCs w:val="28"/>
        </w:rPr>
        <w:t xml:space="preserve">В результате четко организованной работы Мурманская область вошла в десятку лучших регионов страны по реализации </w:t>
      </w:r>
      <w:r w:rsidR="00E971DB" w:rsidRPr="00BE108E">
        <w:rPr>
          <w:rFonts w:cs="Times New Roman"/>
          <w:szCs w:val="28"/>
        </w:rPr>
        <w:t>«</w:t>
      </w:r>
      <w:r w:rsidRPr="00BE108E">
        <w:rPr>
          <w:rFonts w:cs="Times New Roman"/>
          <w:szCs w:val="28"/>
        </w:rPr>
        <w:t>майских</w:t>
      </w:r>
      <w:r w:rsidR="00E971DB" w:rsidRPr="00BE108E">
        <w:rPr>
          <w:rFonts w:cs="Times New Roman"/>
          <w:szCs w:val="28"/>
        </w:rPr>
        <w:t>»</w:t>
      </w:r>
      <w:r w:rsidRPr="00BE108E">
        <w:rPr>
          <w:rFonts w:cs="Times New Roman"/>
          <w:szCs w:val="28"/>
        </w:rPr>
        <w:t xml:space="preserve"> указов. Из 40 показателей, по которым проводится мониторинг, целевые значения достигнуты по уточненным данным по 37.</w:t>
      </w:r>
    </w:p>
    <w:p w:rsidR="00DA522B" w:rsidRPr="00BE108E" w:rsidRDefault="00DA522B" w:rsidP="00DA522B">
      <w:pPr>
        <w:rPr>
          <w:rFonts w:cs="Times New Roman"/>
          <w:szCs w:val="28"/>
        </w:rPr>
      </w:pPr>
      <w:r w:rsidRPr="00BE108E">
        <w:rPr>
          <w:rFonts w:cs="Times New Roman"/>
          <w:szCs w:val="28"/>
        </w:rPr>
        <w:t xml:space="preserve">В рамках реализации задачи по совершенствованию налогового регулирования, проводилась работа с нерентабельными коммерческими организациями, предприятиями-банкротами и предприятиями Мурманской области, имеющими задолженность перед бюджетами всех уровней и по </w:t>
      </w:r>
      <w:r w:rsidRPr="00BE108E">
        <w:rPr>
          <w:rFonts w:cs="Times New Roman"/>
          <w:szCs w:val="28"/>
        </w:rPr>
        <w:lastRenderedPageBreak/>
        <w:t>заработной плате (в течение 2014 года рассмотрено 9 предприятий, из них три нерентабельных организации по итогам года сработали с прибылью, двум банкротам удалось погасить либо снизить задолженность по заработной плате).</w:t>
      </w:r>
    </w:p>
    <w:p w:rsidR="00DA522B" w:rsidRPr="00BE108E" w:rsidRDefault="00DA522B" w:rsidP="00DA522B">
      <w:pPr>
        <w:rPr>
          <w:rFonts w:cs="Times New Roman"/>
          <w:strike/>
          <w:szCs w:val="28"/>
        </w:rPr>
      </w:pPr>
      <w:r w:rsidRPr="00BE108E">
        <w:rPr>
          <w:rFonts w:cs="Times New Roman"/>
          <w:szCs w:val="28"/>
        </w:rPr>
        <w:t xml:space="preserve">Также в целях содействия укреплению налогового потенциала Мурманской области и повышению доходов консолидированного бюджета проведена оценка эффективности предоставляемых (планируемых к предоставлению) налоговых преференций за 2013 год. </w:t>
      </w:r>
    </w:p>
    <w:p w:rsidR="00DA522B" w:rsidRPr="00BE108E" w:rsidRDefault="00DA522B" w:rsidP="00DA522B">
      <w:pPr>
        <w:rPr>
          <w:rFonts w:cs="Times New Roman"/>
          <w:szCs w:val="28"/>
        </w:rPr>
      </w:pPr>
      <w:r w:rsidRPr="00BE108E">
        <w:rPr>
          <w:rFonts w:cs="Times New Roman"/>
          <w:szCs w:val="28"/>
        </w:rPr>
        <w:t>В 2014 году осуществлялся перевод ресурсоснабжающих организаций на долгосрочные методы регулирования тарифов,</w:t>
      </w:r>
      <w:r w:rsidR="006D111C" w:rsidRPr="00BE108E">
        <w:rPr>
          <w:rFonts w:cs="Times New Roman"/>
          <w:szCs w:val="28"/>
        </w:rPr>
        <w:t xml:space="preserve"> </w:t>
      </w:r>
      <w:r w:rsidRPr="00BE108E">
        <w:rPr>
          <w:rFonts w:cs="Times New Roman"/>
          <w:szCs w:val="28"/>
        </w:rPr>
        <w:t>способствующие повышению инвестиционной активности организаций, на основании определенных для каждой такой организации значений долгосрочных параметров регулирования ее деятельности и иных прогнозных параметров (в 2014 году доля ресурсоснабжающих организаций, перешедших на долгосрочные методы регулирования тарифов</w:t>
      </w:r>
      <w:r w:rsidR="00E971DB" w:rsidRPr="00BE108E">
        <w:rPr>
          <w:rFonts w:cs="Times New Roman"/>
          <w:szCs w:val="28"/>
        </w:rPr>
        <w:t>,</w:t>
      </w:r>
      <w:r w:rsidRPr="00BE108E">
        <w:rPr>
          <w:rFonts w:cs="Times New Roman"/>
          <w:szCs w:val="28"/>
        </w:rPr>
        <w:t xml:space="preserve"> составила 21%).</w:t>
      </w:r>
    </w:p>
    <w:p w:rsidR="00DA522B" w:rsidRPr="00BE108E" w:rsidRDefault="00DA522B" w:rsidP="00DA522B">
      <w:pPr>
        <w:rPr>
          <w:rFonts w:cs="Times New Roman"/>
          <w:szCs w:val="28"/>
        </w:rPr>
      </w:pPr>
      <w:r w:rsidRPr="00BE108E">
        <w:rPr>
          <w:rFonts w:cs="Times New Roman"/>
          <w:szCs w:val="28"/>
        </w:rPr>
        <w:t>В соответствии с планом проверок в рамках обеспечения лицензирования отдельных видов деятельности, отнесенных к компетенции субъекта РФ, осуществлялось проведение контрольных мероприятий, направленных на</w:t>
      </w:r>
      <w:r w:rsidR="006D111C" w:rsidRPr="00BE108E">
        <w:rPr>
          <w:rFonts w:cs="Times New Roman"/>
          <w:szCs w:val="28"/>
        </w:rPr>
        <w:t xml:space="preserve"> </w:t>
      </w:r>
      <w:r w:rsidRPr="00BE108E">
        <w:rPr>
          <w:rFonts w:cs="Times New Roman"/>
          <w:szCs w:val="28"/>
        </w:rPr>
        <w:t>приостановление действия (аннулирование) лицензий предприятий, допускающих нарушения лицензионных требований и условий при реализации алкогольной продукции (доля лицензий, аннулированных за нарушения лицензионных требований, к общему количеству действующих лицензий, составила 0,73% (план – 0,7%)).</w:t>
      </w:r>
    </w:p>
    <w:p w:rsidR="00DA522B" w:rsidRPr="00BE108E" w:rsidRDefault="00DA522B" w:rsidP="00DA522B">
      <w:pPr>
        <w:rPr>
          <w:rFonts w:cs="Times New Roman"/>
          <w:szCs w:val="28"/>
        </w:rPr>
      </w:pPr>
      <w:r w:rsidRPr="00BE108E">
        <w:rPr>
          <w:rFonts w:cs="Times New Roman"/>
          <w:szCs w:val="28"/>
        </w:rPr>
        <w:t>В рамках организации мониторинга эффективности деятельности органов местного самоуправления подготовлен и размещен на сайте Министерства экономического развития Мурманской области Сводный доклад о результатах мониторинга эффективности деятельности органов местного самоуправления городских округов и муниципальных районов за 2013 год.</w:t>
      </w:r>
    </w:p>
    <w:p w:rsidR="00DA522B" w:rsidRPr="00BE108E" w:rsidRDefault="00DA522B" w:rsidP="00DA522B">
      <w:pPr>
        <w:rPr>
          <w:rFonts w:cs="Times New Roman"/>
          <w:szCs w:val="28"/>
        </w:rPr>
      </w:pPr>
      <w:r w:rsidRPr="00BE108E">
        <w:rPr>
          <w:rFonts w:cs="Times New Roman"/>
          <w:szCs w:val="28"/>
        </w:rPr>
        <w:t xml:space="preserve">По итогам мониторинга, проведенного в 2014 году, из областного бюджета выделены гранты в целях поощрения достижения наилучших значений показателей в размере 4 млн. рублей трем муниципальным образованиям, признанным победителями (г. Мурманск, ЗАТО п. Видяево, Ловозерский район). </w:t>
      </w:r>
    </w:p>
    <w:p w:rsidR="00DA522B" w:rsidRPr="00BE108E" w:rsidRDefault="00DA522B" w:rsidP="00DA522B">
      <w:pPr>
        <w:rPr>
          <w:rFonts w:cs="Times New Roman"/>
          <w:szCs w:val="28"/>
        </w:rPr>
      </w:pPr>
      <w:r w:rsidRPr="00BE108E">
        <w:rPr>
          <w:rFonts w:cs="Times New Roman"/>
          <w:szCs w:val="28"/>
        </w:rPr>
        <w:t xml:space="preserve">На основе разработанной нормативной правовой базы в целях повышения качества работы государственных учреждений и </w:t>
      </w:r>
      <w:r w:rsidR="00E971DB" w:rsidRPr="00BE108E">
        <w:rPr>
          <w:rFonts w:cs="Times New Roman"/>
          <w:szCs w:val="28"/>
        </w:rPr>
        <w:t xml:space="preserve">предоставляемых населению </w:t>
      </w:r>
      <w:r w:rsidRPr="00BE108E">
        <w:rPr>
          <w:rFonts w:cs="Times New Roman"/>
          <w:szCs w:val="28"/>
        </w:rPr>
        <w:t>услуг в 2014 году впервые было организовано проведение независимой оценки качества оказания услуг 80-</w:t>
      </w:r>
      <w:r w:rsidR="00E971DB" w:rsidRPr="00BE108E">
        <w:rPr>
          <w:rFonts w:cs="Times New Roman"/>
          <w:szCs w:val="28"/>
        </w:rPr>
        <w:t>т</w:t>
      </w:r>
      <w:r w:rsidRPr="00BE108E">
        <w:rPr>
          <w:rFonts w:cs="Times New Roman"/>
          <w:szCs w:val="28"/>
        </w:rPr>
        <w:t xml:space="preserve">и государственных учреждений образования, здравоохранения, социального обслуживания, культуры, физической культуры и занятости населения. </w:t>
      </w:r>
    </w:p>
    <w:p w:rsidR="00DA522B" w:rsidRPr="00BE108E" w:rsidRDefault="00DA522B" w:rsidP="00DA522B">
      <w:pPr>
        <w:rPr>
          <w:rFonts w:cs="Times New Roman"/>
          <w:szCs w:val="28"/>
        </w:rPr>
      </w:pPr>
      <w:r w:rsidRPr="00BE108E">
        <w:rPr>
          <w:rFonts w:cs="Times New Roman"/>
          <w:szCs w:val="28"/>
        </w:rPr>
        <w:t>В 2014 году разработан проект Плана мероприятий («дорожной карты») «Поддержка доступа негосударственных организаций к предоставлению услуг в социальной сфере на территории Мурманской области». Мурманская область включена Агентством стратегических инициатив в перечень «пилотных» регионов по реализации федеральной «дорожной карты» развития негосударственного сектора экономики в социальной сфере.</w:t>
      </w:r>
    </w:p>
    <w:p w:rsidR="00DA522B" w:rsidRPr="00BE108E" w:rsidRDefault="00DA522B" w:rsidP="00DA522B">
      <w:pPr>
        <w:rPr>
          <w:rFonts w:cs="Times New Roman"/>
          <w:szCs w:val="28"/>
        </w:rPr>
      </w:pPr>
      <w:r w:rsidRPr="00BE108E">
        <w:rPr>
          <w:rFonts w:cs="Times New Roman"/>
          <w:szCs w:val="28"/>
        </w:rPr>
        <w:lastRenderedPageBreak/>
        <w:t>Всего на 2014 год по государственной программе были предусмотрены к выполнению 63 показателя целей и задач, из них 4 показателя значительно перевыполнены, высокая степень достижения отмечается по 54-м показателям, средняя – по 1, низкая – по 4-м. Средняя степень достижения показателей государственной программы – 106,</w:t>
      </w:r>
      <w:r w:rsidR="007719F1" w:rsidRPr="00BE108E">
        <w:rPr>
          <w:rFonts w:cs="Times New Roman"/>
          <w:szCs w:val="28"/>
        </w:rPr>
        <w:t>5</w:t>
      </w:r>
      <w:r w:rsidRPr="00BE108E">
        <w:rPr>
          <w:rFonts w:cs="Times New Roman"/>
          <w:szCs w:val="28"/>
        </w:rPr>
        <w:t>%.</w:t>
      </w:r>
    </w:p>
    <w:p w:rsidR="00DA522B" w:rsidRPr="00BE108E" w:rsidRDefault="00DA522B" w:rsidP="00DA522B">
      <w:pPr>
        <w:rPr>
          <w:rFonts w:cs="Times New Roman"/>
          <w:szCs w:val="28"/>
        </w:rPr>
      </w:pPr>
      <w:r w:rsidRPr="00BE108E">
        <w:rPr>
          <w:rFonts w:cs="Times New Roman"/>
          <w:szCs w:val="28"/>
        </w:rPr>
        <w:t xml:space="preserve"> В результате реализации программных мероприятий отмечается повышение оценки предпринимательским сообществом общих условий ведения предпринимательской деятельности, включая улучшение инвестиционного климата (с 5,5 до 6 баллов), по сравнению с планом увеличился объем платных услуг, оказанных населению в Мурманской области в сфере туризма (включая услуги гостиниц и аналогичных мест размещения). В то же время отмечается </w:t>
      </w:r>
      <w:proofErr w:type="spellStart"/>
      <w:r w:rsidRPr="00BE108E">
        <w:rPr>
          <w:rFonts w:cs="Times New Roman"/>
          <w:szCs w:val="28"/>
        </w:rPr>
        <w:t>недостижение</w:t>
      </w:r>
      <w:proofErr w:type="spellEnd"/>
      <w:r w:rsidRPr="00BE108E">
        <w:rPr>
          <w:rFonts w:cs="Times New Roman"/>
          <w:szCs w:val="28"/>
        </w:rPr>
        <w:t xml:space="preserve"> планового значения по показателю «Доля инвестиций в основной капитал в ВРП», что обусловлено корректировкой инвестиционных программ крупных предприятий региона.</w:t>
      </w:r>
    </w:p>
    <w:p w:rsidR="00DA522B" w:rsidRPr="00BE108E" w:rsidRDefault="00DA522B" w:rsidP="00DA522B">
      <w:pPr>
        <w:rPr>
          <w:rFonts w:cs="Times New Roman"/>
          <w:szCs w:val="28"/>
        </w:rPr>
      </w:pPr>
      <w:r w:rsidRPr="00BE108E">
        <w:rPr>
          <w:rFonts w:cs="Times New Roman"/>
          <w:szCs w:val="28"/>
        </w:rPr>
        <w:t>Интегральный показатель эффективности реализации государственной программы, рассчитанный на основании пяти установленных критериев, составил 11</w:t>
      </w:r>
      <w:r w:rsidR="00FE6404" w:rsidRPr="00BE108E">
        <w:rPr>
          <w:rFonts w:cs="Times New Roman"/>
          <w:szCs w:val="28"/>
        </w:rPr>
        <w:t>2</w:t>
      </w:r>
      <w:r w:rsidRPr="00BE108E">
        <w:rPr>
          <w:rFonts w:cs="Times New Roman"/>
          <w:szCs w:val="28"/>
        </w:rPr>
        <w:t xml:space="preserve">%, что в соответствии с утвержденной методикой оценки эффективности свидетельствует о высоком уровне эффективности реализации государственной программы. </w:t>
      </w:r>
    </w:p>
    <w:p w:rsidR="00D25B2F" w:rsidRPr="00BE108E" w:rsidRDefault="00D25B2F" w:rsidP="00E971DB">
      <w:pPr>
        <w:ind w:firstLine="0"/>
        <w:rPr>
          <w:rFonts w:cs="Times New Roman"/>
          <w:szCs w:val="28"/>
        </w:rPr>
      </w:pPr>
    </w:p>
    <w:p w:rsidR="00B93BB7" w:rsidRPr="00BE108E" w:rsidRDefault="00B93BB7" w:rsidP="00B93BB7">
      <w:pPr>
        <w:pStyle w:val="1"/>
        <w:rPr>
          <w:rFonts w:cs="Times New Roman"/>
        </w:rPr>
      </w:pPr>
      <w:r w:rsidRPr="00BE108E">
        <w:rPr>
          <w:rFonts w:cs="Times New Roman"/>
        </w:rPr>
        <w:t>Государственная программа 15 «Информационное общество»</w:t>
      </w:r>
    </w:p>
    <w:p w:rsidR="000F218D" w:rsidRPr="00BE108E" w:rsidRDefault="000F218D" w:rsidP="000F218D">
      <w:pPr>
        <w:ind w:firstLine="567"/>
        <w:rPr>
          <w:szCs w:val="28"/>
        </w:rPr>
      </w:pPr>
    </w:p>
    <w:p w:rsidR="00B93BB7" w:rsidRDefault="000F218D" w:rsidP="000F218D">
      <w:pPr>
        <w:widowControl w:val="0"/>
        <w:suppressAutoHyphens/>
        <w:spacing w:line="276" w:lineRule="auto"/>
        <w:ind w:firstLine="0"/>
        <w:jc w:val="center"/>
        <w:rPr>
          <w:noProof/>
        </w:rPr>
      </w:pPr>
      <w:r w:rsidRPr="00BE108E">
        <w:rPr>
          <w:noProof/>
        </w:rPr>
        <w:drawing>
          <wp:inline distT="0" distB="0" distL="0" distR="0">
            <wp:extent cx="2530549" cy="2987749"/>
            <wp:effectExtent l="0" t="0" r="22225" b="22225"/>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Pr="00BE108E">
        <w:rPr>
          <w:noProof/>
        </w:rPr>
        <w:t xml:space="preserve"> </w:t>
      </w:r>
      <w:r w:rsidRPr="00BE108E">
        <w:rPr>
          <w:noProof/>
        </w:rPr>
        <w:drawing>
          <wp:inline distT="0" distB="0" distL="0" distR="0">
            <wp:extent cx="3466214" cy="2987749"/>
            <wp:effectExtent l="0" t="0" r="20320" b="22225"/>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13F31" w:rsidRDefault="00C13F31" w:rsidP="00C13F31">
      <w:pPr>
        <w:ind w:firstLine="0"/>
        <w:jc w:val="center"/>
        <w:rPr>
          <w:sz w:val="24"/>
        </w:rPr>
      </w:pPr>
      <w:r w:rsidRPr="00C13F31">
        <w:rPr>
          <w:sz w:val="24"/>
        </w:rPr>
        <w:t xml:space="preserve">Рисунок </w:t>
      </w:r>
      <w:r w:rsidR="00777563">
        <w:rPr>
          <w:sz w:val="24"/>
        </w:rPr>
        <w:t>19</w:t>
      </w:r>
    </w:p>
    <w:p w:rsidR="00AE272B" w:rsidRPr="00BE108E" w:rsidRDefault="00AE272B" w:rsidP="000F218D">
      <w:pPr>
        <w:widowControl w:val="0"/>
        <w:suppressAutoHyphens/>
        <w:spacing w:line="276" w:lineRule="auto"/>
        <w:ind w:firstLine="0"/>
        <w:jc w:val="center"/>
        <w:rPr>
          <w:rFonts w:cs="Times New Roman"/>
          <w:b/>
          <w:szCs w:val="28"/>
        </w:rPr>
      </w:pPr>
    </w:p>
    <w:p w:rsidR="00B93BB7" w:rsidRPr="00BE108E" w:rsidRDefault="00B93BB7" w:rsidP="00B93BB7">
      <w:pPr>
        <w:pStyle w:val="a5"/>
        <w:widowControl w:val="0"/>
        <w:autoSpaceDE w:val="0"/>
        <w:autoSpaceDN w:val="0"/>
        <w:adjustRightInd w:val="0"/>
        <w:ind w:left="0"/>
        <w:rPr>
          <w:rFonts w:ascii="Times New Roman" w:hAnsi="Times New Roman"/>
          <w:szCs w:val="28"/>
        </w:rPr>
      </w:pPr>
      <w:r w:rsidRPr="00BE108E">
        <w:rPr>
          <w:rFonts w:ascii="Times New Roman" w:hAnsi="Times New Roman"/>
          <w:szCs w:val="28"/>
        </w:rPr>
        <w:t>В 2014 году на реализацию государственной программы за счет всех источников финансирования предусматривалось направить 462,3 млн. рублей.</w:t>
      </w:r>
    </w:p>
    <w:p w:rsidR="00B93BB7" w:rsidRPr="00BE108E" w:rsidRDefault="00B93BB7" w:rsidP="00B93BB7">
      <w:pPr>
        <w:pStyle w:val="a5"/>
        <w:widowControl w:val="0"/>
        <w:autoSpaceDE w:val="0"/>
        <w:autoSpaceDN w:val="0"/>
        <w:adjustRightInd w:val="0"/>
        <w:ind w:left="0"/>
        <w:rPr>
          <w:rFonts w:ascii="Times New Roman" w:hAnsi="Times New Roman"/>
          <w:szCs w:val="28"/>
        </w:rPr>
      </w:pPr>
      <w:r w:rsidRPr="00BE108E">
        <w:rPr>
          <w:rFonts w:ascii="Times New Roman" w:hAnsi="Times New Roman"/>
          <w:szCs w:val="28"/>
        </w:rPr>
        <w:t xml:space="preserve">Суммарные кассовые расходы по итогам года составили 427,2 млн. рублей (92,4% от запланированного), в том числе за счет средств областного бюджета – 360,6 млн. рублей (99%), федерального бюджета – 28,65 млн. рублей (100%), средств местных бюджетов – 29 млн. рублей (49,7%), внебюджетных </w:t>
      </w:r>
      <w:r w:rsidRPr="00BE108E">
        <w:rPr>
          <w:rFonts w:ascii="Times New Roman" w:hAnsi="Times New Roman"/>
          <w:szCs w:val="28"/>
        </w:rPr>
        <w:lastRenderedPageBreak/>
        <w:t>средств – 8,9 млн. рублей (80,2%).</w:t>
      </w:r>
    </w:p>
    <w:p w:rsidR="00B93BB7" w:rsidRPr="00BE108E" w:rsidRDefault="00B93BB7" w:rsidP="00B93BB7">
      <w:pPr>
        <w:pStyle w:val="Default"/>
        <w:ind w:firstLine="709"/>
        <w:jc w:val="both"/>
        <w:rPr>
          <w:b/>
          <w:bCs/>
          <w:sz w:val="28"/>
          <w:szCs w:val="28"/>
        </w:rPr>
      </w:pPr>
      <w:r w:rsidRPr="00BE108E">
        <w:rPr>
          <w:sz w:val="28"/>
          <w:szCs w:val="28"/>
        </w:rPr>
        <w:t>Низкая доля фактического софинансирования мероприятий программы обусловлена сокращением бюджетных ассигнований местных бюджетов на создание и развитие многофункциональных центров.</w:t>
      </w:r>
    </w:p>
    <w:p w:rsidR="00B93BB7" w:rsidRPr="00BE108E" w:rsidRDefault="00B93BB7" w:rsidP="00B93BB7">
      <w:pPr>
        <w:pStyle w:val="Default"/>
        <w:ind w:firstLine="709"/>
        <w:jc w:val="both"/>
        <w:rPr>
          <w:sz w:val="28"/>
          <w:szCs w:val="28"/>
        </w:rPr>
      </w:pPr>
      <w:r w:rsidRPr="00BE108E">
        <w:rPr>
          <w:bCs/>
          <w:sz w:val="28"/>
          <w:szCs w:val="28"/>
        </w:rPr>
        <w:t xml:space="preserve">За 2014 год </w:t>
      </w:r>
      <w:r w:rsidRPr="00BE108E">
        <w:rPr>
          <w:sz w:val="28"/>
          <w:szCs w:val="28"/>
        </w:rPr>
        <w:t>в целях</w:t>
      </w:r>
      <w:r w:rsidRPr="00BE108E">
        <w:rPr>
          <w:b/>
          <w:sz w:val="28"/>
          <w:szCs w:val="28"/>
        </w:rPr>
        <w:t xml:space="preserve"> развития современной информационной и телекоммуникационной инфраструктуры исполнительных органов государственной власти и органов местного самоуправления </w:t>
      </w:r>
      <w:r w:rsidRPr="00BE108E">
        <w:rPr>
          <w:sz w:val="28"/>
          <w:szCs w:val="28"/>
        </w:rPr>
        <w:t>осуществлена техническая поддержка и обеспечено бесперебойное функционирование единой информационно-вычислительной сети ИОГВ, 27 муниципальных образований Мурманской области были подключены к информационно-вычислительной сети, обеспечен широкополосный доступ к сети Интернет во всех ИОГВ. В рабочие процессы всех исполнительных органов внедрены технологии тайм-менеджмента.</w:t>
      </w:r>
    </w:p>
    <w:p w:rsidR="00B93BB7" w:rsidRPr="00BE108E" w:rsidRDefault="00B93BB7" w:rsidP="00B93BB7">
      <w:pPr>
        <w:suppressAutoHyphens/>
        <w:rPr>
          <w:szCs w:val="28"/>
        </w:rPr>
      </w:pPr>
      <w:r w:rsidRPr="00BE108E">
        <w:rPr>
          <w:szCs w:val="28"/>
        </w:rPr>
        <w:t xml:space="preserve">В результате принятых мер </w:t>
      </w:r>
      <w:r w:rsidRPr="00BE108E">
        <w:rPr>
          <w:iCs/>
          <w:szCs w:val="28"/>
        </w:rPr>
        <w:t>в сфере</w:t>
      </w:r>
      <w:r w:rsidRPr="00BE108E">
        <w:rPr>
          <w:b/>
          <w:iCs/>
          <w:szCs w:val="28"/>
        </w:rPr>
        <w:t xml:space="preserve"> формирования электронного правительства</w:t>
      </w:r>
      <w:r w:rsidRPr="00BE108E">
        <w:rPr>
          <w:szCs w:val="28"/>
        </w:rPr>
        <w:t xml:space="preserve"> по состоянию на 01.01.2015 в электронный вид переведено 122 государственных (муниципальных) услуги в сферах: государственной регистрации актов гражданского состояния, опеки и попечительства, социальной защиты, образования, труда и занятости населения, библиотечного дела. Количество услуг, оказываемых в электронном виде, увеличилось в 2014 году на 12 единиц.</w:t>
      </w:r>
    </w:p>
    <w:p w:rsidR="00B93BB7" w:rsidRPr="00BE108E" w:rsidRDefault="00B93BB7" w:rsidP="00B93BB7">
      <w:pPr>
        <w:suppressAutoHyphens/>
        <w:rPr>
          <w:szCs w:val="28"/>
        </w:rPr>
      </w:pPr>
      <w:r w:rsidRPr="00BE108E">
        <w:rPr>
          <w:szCs w:val="28"/>
        </w:rPr>
        <w:t>В 2014 году разработаны и начали тестирование электронные сервисы, предназначенные для предоставления сведений органами ЗАГС по запросам федеральных органов исполнительной власти, направленных посредством системы межведомственного электронного взаимодействия.</w:t>
      </w:r>
    </w:p>
    <w:p w:rsidR="00B93BB7" w:rsidRPr="00BE108E" w:rsidRDefault="00B93BB7" w:rsidP="00B93BB7">
      <w:pPr>
        <w:suppressAutoHyphens/>
        <w:rPr>
          <w:szCs w:val="28"/>
        </w:rPr>
      </w:pPr>
      <w:r w:rsidRPr="00BE108E">
        <w:rPr>
          <w:szCs w:val="28"/>
        </w:rPr>
        <w:t>В целях достижения планового показателя «доля граждан, использующих механизм получения услуг в электронном виде», закрепленном в Указе Президента РФ от 07.05.2012 № 601 «Об основных направления совершенствования системы государственного управления», на территории Мурманской области организовано открытие 3 пунктов регистрации заявителей в Единой системе идентификации и аутентификации (ЕСИА) и 19 пунктов подтверждения учетных записей пользователей ЕСИА, позволяющих гражданам получить права полного доступа к электронным услугам.</w:t>
      </w:r>
    </w:p>
    <w:p w:rsidR="00777563" w:rsidRPr="00BE108E" w:rsidRDefault="00777563" w:rsidP="00777563">
      <w:pPr>
        <w:suppressAutoHyphens/>
        <w:rPr>
          <w:szCs w:val="28"/>
        </w:rPr>
      </w:pPr>
      <w:r w:rsidRPr="00BE108E">
        <w:rPr>
          <w:szCs w:val="28"/>
        </w:rPr>
        <w:t xml:space="preserve">В результате проведенной работы доля граждан, использующих механизм получения государственных и муниципальных услуг в электронной форме, в 2014 году выросла по сравнению с 2013 годом в 2,3 раза и составила 35%. </w:t>
      </w:r>
    </w:p>
    <w:p w:rsidR="00B93BB7" w:rsidRPr="00BE108E" w:rsidRDefault="00B93BB7" w:rsidP="00B93BB7">
      <w:pPr>
        <w:suppressAutoHyphens/>
        <w:rPr>
          <w:szCs w:val="28"/>
        </w:rPr>
      </w:pPr>
      <w:r w:rsidRPr="00BE108E">
        <w:rPr>
          <w:szCs w:val="28"/>
        </w:rPr>
        <w:t xml:space="preserve">Обеспечено стабильное функционирование и техническое сопровождение работы системы электронного документооборота и делопроизводства Мурманской области, обеспечены условия для организации межведомственного обмена служебной документацией с федеральными и региональными органами власти в электронном виде. </w:t>
      </w:r>
    </w:p>
    <w:p w:rsidR="00B93BB7" w:rsidRPr="00BE108E" w:rsidRDefault="00B93BB7" w:rsidP="00B93BB7">
      <w:pPr>
        <w:suppressAutoHyphens/>
        <w:rPr>
          <w:szCs w:val="28"/>
        </w:rPr>
      </w:pPr>
      <w:r w:rsidRPr="00BE108E">
        <w:rPr>
          <w:szCs w:val="28"/>
        </w:rPr>
        <w:t>Организованы обучающие семинары по вопросам взаимодействия с государственными информационными системами для сотрудников региональных и муниципальных органов власти.</w:t>
      </w:r>
    </w:p>
    <w:p w:rsidR="00B93BB7" w:rsidRPr="00BE108E" w:rsidRDefault="00B93BB7" w:rsidP="00B93BB7">
      <w:pPr>
        <w:suppressAutoHyphens/>
        <w:rPr>
          <w:szCs w:val="28"/>
        </w:rPr>
      </w:pPr>
      <w:r w:rsidRPr="00BE108E">
        <w:rPr>
          <w:szCs w:val="28"/>
        </w:rPr>
        <w:t xml:space="preserve">Осуществлен перенос основных интернет-сайтов системы официальных </w:t>
      </w:r>
      <w:proofErr w:type="spellStart"/>
      <w:r w:rsidRPr="00BE108E">
        <w:rPr>
          <w:szCs w:val="28"/>
        </w:rPr>
        <w:t>интернет-ресурсов</w:t>
      </w:r>
      <w:proofErr w:type="spellEnd"/>
      <w:r w:rsidRPr="00BE108E">
        <w:rPr>
          <w:szCs w:val="28"/>
        </w:rPr>
        <w:t xml:space="preserve"> ИОГВ на новую систему управления контентом. Проведена </w:t>
      </w:r>
      <w:r w:rsidRPr="00BE108E">
        <w:rPr>
          <w:szCs w:val="28"/>
        </w:rPr>
        <w:lastRenderedPageBreak/>
        <w:t>модернизация сайта Губернатора Мурманской области, включая разработку нового визуального оформления и структуры.</w:t>
      </w:r>
    </w:p>
    <w:p w:rsidR="00B93BB7" w:rsidRPr="00BE108E" w:rsidRDefault="00B93BB7" w:rsidP="00B93BB7">
      <w:pPr>
        <w:suppressAutoHyphens/>
        <w:rPr>
          <w:szCs w:val="28"/>
        </w:rPr>
      </w:pPr>
      <w:r w:rsidRPr="00BE108E">
        <w:rPr>
          <w:szCs w:val="28"/>
        </w:rPr>
        <w:t xml:space="preserve">Разработан портал Мурманской области «Открытый электронный регион», представляющий собой интернет-площадку для взаимодействия граждан и общественных организаций региона, включая бизнес-сообщество, со специалистами </w:t>
      </w:r>
      <w:r w:rsidR="0083380D" w:rsidRPr="00BE108E">
        <w:rPr>
          <w:szCs w:val="28"/>
        </w:rPr>
        <w:t>региональных органов власти</w:t>
      </w:r>
      <w:r w:rsidRPr="00BE108E">
        <w:rPr>
          <w:szCs w:val="28"/>
        </w:rPr>
        <w:t>.</w:t>
      </w:r>
    </w:p>
    <w:p w:rsidR="00B93BB7" w:rsidRPr="00BE108E" w:rsidRDefault="00B93BB7" w:rsidP="00B93BB7">
      <w:pPr>
        <w:suppressAutoHyphens/>
        <w:rPr>
          <w:szCs w:val="28"/>
        </w:rPr>
      </w:pPr>
      <w:r w:rsidRPr="00BE108E">
        <w:rPr>
          <w:szCs w:val="28"/>
        </w:rPr>
        <w:t xml:space="preserve">В 2014 году официальный портал Правительства Мурманской области участвовал в </w:t>
      </w:r>
      <w:r w:rsidR="007E0E64">
        <w:rPr>
          <w:szCs w:val="28"/>
        </w:rPr>
        <w:t xml:space="preserve">двух </w:t>
      </w:r>
      <w:r w:rsidRPr="00BE108E">
        <w:rPr>
          <w:szCs w:val="28"/>
        </w:rPr>
        <w:t>мониторингах сайтов государственных органов, проводимых в рамках независимой экспертизы актуальности размещенной информации и соответствия требованиям законодательства</w:t>
      </w:r>
      <w:r w:rsidR="007E0E64">
        <w:rPr>
          <w:szCs w:val="28"/>
        </w:rPr>
        <w:t>. По итогам</w:t>
      </w:r>
      <w:r w:rsidRPr="00BE108E">
        <w:rPr>
          <w:szCs w:val="28"/>
        </w:rPr>
        <w:t xml:space="preserve"> независимого исследования «Фонда свободы информации» место портала в рейтинге у</w:t>
      </w:r>
      <w:r w:rsidR="007E0E64">
        <w:rPr>
          <w:szCs w:val="28"/>
        </w:rPr>
        <w:t>лучшилось с 18-й до 6-й позиции. В</w:t>
      </w:r>
      <w:r w:rsidRPr="00BE108E">
        <w:rPr>
          <w:szCs w:val="28"/>
        </w:rPr>
        <w:t xml:space="preserve"> мониторинге, проводимом Министерством экономического развития РФ, рейтинг портала поднялся с 13-й позиции до 3-й.</w:t>
      </w:r>
    </w:p>
    <w:p w:rsidR="00B93BB7" w:rsidRPr="00BE108E" w:rsidRDefault="00B93BB7" w:rsidP="00B93BB7">
      <w:pPr>
        <w:suppressAutoHyphens/>
        <w:rPr>
          <w:szCs w:val="28"/>
        </w:rPr>
      </w:pPr>
      <w:r w:rsidRPr="00BE108E">
        <w:rPr>
          <w:szCs w:val="28"/>
        </w:rPr>
        <w:t>В рамках</w:t>
      </w:r>
      <w:r w:rsidRPr="00BE108E">
        <w:rPr>
          <w:b/>
          <w:szCs w:val="28"/>
        </w:rPr>
        <w:t xml:space="preserve"> создания и развития сети многофункциональных центров предоставления государственных и муниципальных услуг</w:t>
      </w:r>
      <w:r w:rsidRPr="00BE108E">
        <w:rPr>
          <w:szCs w:val="28"/>
        </w:rPr>
        <w:t xml:space="preserve"> в 2014 году прошли государственную регистрацию и начали осуществлять прием граждан МФЦ в г. Мончегорске, г. Кировске, ЗАТО Александровск</w:t>
      </w:r>
      <w:r w:rsidR="007E0E64">
        <w:rPr>
          <w:szCs w:val="28"/>
        </w:rPr>
        <w:t>. П</w:t>
      </w:r>
      <w:r w:rsidRPr="00BE108E">
        <w:rPr>
          <w:szCs w:val="28"/>
        </w:rPr>
        <w:t xml:space="preserve">ереведен на принцип «одного окна» МФЦ Кольского района, на завершающей стадии находится создание центра в г. Апатиты. </w:t>
      </w:r>
    </w:p>
    <w:p w:rsidR="00B93BB7" w:rsidRPr="00BE108E" w:rsidRDefault="00B93BB7" w:rsidP="00B93BB7">
      <w:pPr>
        <w:suppressAutoHyphens/>
        <w:rPr>
          <w:szCs w:val="28"/>
        </w:rPr>
      </w:pPr>
      <w:r w:rsidRPr="00BE108E">
        <w:rPr>
          <w:szCs w:val="28"/>
        </w:rPr>
        <w:t>В настоящее время на территории области осуществляют деятельность по принципу «одного окна» 10 МФЦ (с учетом трех отделений в г. Мурманске). Доля граждан, имеющих доступ к получению государственных и муниципальных услуг по принципу «одного окна», составила к концу 2014 года – 60,6% (в 2013 году – 3</w:t>
      </w:r>
      <w:r w:rsidR="004D3F9A">
        <w:rPr>
          <w:szCs w:val="28"/>
        </w:rPr>
        <w:t>4</w:t>
      </w:r>
      <w:r w:rsidRPr="00BE108E">
        <w:rPr>
          <w:szCs w:val="28"/>
        </w:rPr>
        <w:t>%).</w:t>
      </w:r>
    </w:p>
    <w:p w:rsidR="00B93BB7" w:rsidRPr="00BE108E" w:rsidRDefault="00B93BB7" w:rsidP="00B93BB7">
      <w:pPr>
        <w:suppressAutoHyphens/>
        <w:rPr>
          <w:szCs w:val="28"/>
        </w:rPr>
      </w:pPr>
      <w:r w:rsidRPr="00BE108E">
        <w:rPr>
          <w:szCs w:val="28"/>
        </w:rPr>
        <w:t>В целях обеспечения соответствия помещений МФЦ стандартам комфортности в 2014 году в отделениях по Ленинскому и Первомайскому округам г. Мурманска организованы парковочные места для лиц с ограниченными физическими возможностями, в Ленинском отделении проведены мероприятия по созданию доступной среды для маломобильной группы населения (установлен пандус, выполнен ремонт санузла).</w:t>
      </w:r>
    </w:p>
    <w:p w:rsidR="007E0E64" w:rsidRDefault="00B93BB7" w:rsidP="007E0E64">
      <w:pPr>
        <w:suppressAutoHyphens/>
        <w:rPr>
          <w:szCs w:val="28"/>
        </w:rPr>
      </w:pPr>
      <w:r w:rsidRPr="00BE108E">
        <w:rPr>
          <w:szCs w:val="28"/>
        </w:rPr>
        <w:t xml:space="preserve">Осуществлена модернизация региональной автоматизированной информационной системы </w:t>
      </w:r>
      <w:r w:rsidR="00B91DC4">
        <w:rPr>
          <w:szCs w:val="28"/>
        </w:rPr>
        <w:t xml:space="preserve">ГОБУ </w:t>
      </w:r>
      <w:r w:rsidRPr="00BE108E">
        <w:rPr>
          <w:szCs w:val="28"/>
        </w:rPr>
        <w:t xml:space="preserve">«Многофункциональный центр Мурманской области» в части интеграции с </w:t>
      </w:r>
      <w:r w:rsidR="007E0E64">
        <w:rPr>
          <w:szCs w:val="28"/>
        </w:rPr>
        <w:t xml:space="preserve">различными государственными информационными </w:t>
      </w:r>
      <w:r w:rsidRPr="00BE108E">
        <w:rPr>
          <w:szCs w:val="28"/>
        </w:rPr>
        <w:t>систем</w:t>
      </w:r>
      <w:r w:rsidR="007E0E64">
        <w:rPr>
          <w:szCs w:val="28"/>
        </w:rPr>
        <w:t xml:space="preserve">ами, необходимыми для качественного и своевременного </w:t>
      </w:r>
      <w:r w:rsidR="007E0E64" w:rsidRPr="005203CE">
        <w:rPr>
          <w:szCs w:val="28"/>
        </w:rPr>
        <w:t>оказани</w:t>
      </w:r>
      <w:r w:rsidR="007E0E64">
        <w:rPr>
          <w:szCs w:val="28"/>
        </w:rPr>
        <w:t>я</w:t>
      </w:r>
      <w:r w:rsidR="007E0E64" w:rsidRPr="005203CE">
        <w:rPr>
          <w:szCs w:val="28"/>
        </w:rPr>
        <w:t xml:space="preserve"> </w:t>
      </w:r>
      <w:r w:rsidR="007E0E64">
        <w:rPr>
          <w:szCs w:val="28"/>
        </w:rPr>
        <w:t xml:space="preserve">заявителям </w:t>
      </w:r>
      <w:r w:rsidR="007E0E64" w:rsidRPr="005203CE">
        <w:rPr>
          <w:szCs w:val="28"/>
        </w:rPr>
        <w:t>государственных и муниципальных услуг</w:t>
      </w:r>
      <w:r w:rsidR="007E0E64">
        <w:rPr>
          <w:szCs w:val="28"/>
        </w:rPr>
        <w:t xml:space="preserve"> на базе МФЦ.</w:t>
      </w:r>
    </w:p>
    <w:p w:rsidR="00777563" w:rsidRPr="00BE108E" w:rsidRDefault="00777563" w:rsidP="00777563">
      <w:pPr>
        <w:suppressAutoHyphens/>
        <w:rPr>
          <w:szCs w:val="28"/>
        </w:rPr>
      </w:pPr>
      <w:r w:rsidRPr="00BE108E">
        <w:rPr>
          <w:szCs w:val="28"/>
        </w:rPr>
        <w:t>Количество оказанных услуг Многофункционал</w:t>
      </w:r>
      <w:r w:rsidR="00B91DC4">
        <w:rPr>
          <w:szCs w:val="28"/>
        </w:rPr>
        <w:t>ьным центром Мурманской области</w:t>
      </w:r>
      <w:r w:rsidRPr="00BE108E">
        <w:rPr>
          <w:szCs w:val="28"/>
        </w:rPr>
        <w:t xml:space="preserve"> в 2014 году возросло на 33% по сравнению с 2013 годом и составило 323 тысячи услуг. </w:t>
      </w:r>
    </w:p>
    <w:p w:rsidR="00B93BB7" w:rsidRPr="00BE108E" w:rsidRDefault="00B93BB7" w:rsidP="00B93BB7">
      <w:pPr>
        <w:suppressAutoHyphens/>
        <w:rPr>
          <w:szCs w:val="28"/>
        </w:rPr>
      </w:pPr>
      <w:r w:rsidRPr="00BE108E">
        <w:rPr>
          <w:szCs w:val="28"/>
        </w:rPr>
        <w:t>По итогам проведенного исследования уровень удовлетворенности населения области качеством предоставления государственных и муниципальных услуг на территории Мурманской области в 2014 году превысил 90%.</w:t>
      </w:r>
    </w:p>
    <w:p w:rsidR="00B93BB7" w:rsidRPr="00BE108E" w:rsidRDefault="00B93BB7" w:rsidP="0055692C">
      <w:r w:rsidRPr="00BE108E">
        <w:lastRenderedPageBreak/>
        <w:t xml:space="preserve">Реализация программных мероприятий способствовала развитию ряда направлений в </w:t>
      </w:r>
      <w:r w:rsidRPr="00BE108E">
        <w:rPr>
          <w:b/>
        </w:rPr>
        <w:t>сфере архивного дела</w:t>
      </w:r>
      <w:r w:rsidR="007E0E64">
        <w:t>. Совершенствование</w:t>
      </w:r>
      <w:r w:rsidRPr="00BE108E">
        <w:t xml:space="preserve"> автоматизированной информационной системы по документам Архивного фонда Мурманской области существенно расширило доступ к информации о составе и содержании архивных документов</w:t>
      </w:r>
      <w:r w:rsidR="007E0E64">
        <w:t>. У</w:t>
      </w:r>
      <w:r w:rsidRPr="00BE108E">
        <w:t xml:space="preserve">становка мобильных стеллажей в архивохранилищах ГОКУ «Государственный архив Мурманской области» обеспечили модернизацию системы хранения, сохранения и пополнения архивного фонда, полноценного и своевременного оказания государственных услуг </w:t>
      </w:r>
      <w:r w:rsidR="007E0E64">
        <w:t>населению и организациям</w:t>
      </w:r>
      <w:r w:rsidRPr="00BE108E">
        <w:t>.</w:t>
      </w:r>
    </w:p>
    <w:p w:rsidR="00B93BB7" w:rsidRPr="00BE108E" w:rsidRDefault="00B93BB7" w:rsidP="0055692C">
      <w:pPr>
        <w:rPr>
          <w:iCs/>
        </w:rPr>
      </w:pPr>
      <w:r w:rsidRPr="00BE108E">
        <w:rPr>
          <w:iCs/>
        </w:rPr>
        <w:t xml:space="preserve">В рамках решения задачи по </w:t>
      </w:r>
      <w:r w:rsidRPr="00BE108E">
        <w:rPr>
          <w:b/>
          <w:iCs/>
        </w:rPr>
        <w:t>обеспечению населения актуальной достоверной информацией о деятельности исполнительных органов власти Мурманской области</w:t>
      </w:r>
      <w:r w:rsidRPr="00BE108E">
        <w:rPr>
          <w:iCs/>
        </w:rPr>
        <w:t xml:space="preserve"> были заключены 28 государственных контрактов с ведущими </w:t>
      </w:r>
      <w:r w:rsidR="002105E3" w:rsidRPr="002105E3">
        <w:rPr>
          <w:iCs/>
        </w:rPr>
        <w:t xml:space="preserve">федеральными и региональными </w:t>
      </w:r>
      <w:r w:rsidRPr="00BE108E">
        <w:rPr>
          <w:iCs/>
        </w:rPr>
        <w:t xml:space="preserve">СМИ, что позволило обеспечить выход в эфир телевизионных и радиопрограмм, газетных статей и информационных сообщений по актуальным вопросам социальной, экономической, политической жизни региона. </w:t>
      </w:r>
    </w:p>
    <w:p w:rsidR="00B93BB7" w:rsidRPr="00BE108E" w:rsidRDefault="00B93BB7" w:rsidP="0055692C">
      <w:pPr>
        <w:rPr>
          <w:iCs/>
        </w:rPr>
      </w:pPr>
      <w:r w:rsidRPr="00BE108E">
        <w:rPr>
          <w:iCs/>
        </w:rPr>
        <w:t>В целях поощрения творческой активности журналистов и активизации публикаций в печатных и электронных средствах массовой информации проведен областной журналистский конкурс «На Мурманском рубеже», посвященный 70-летию разгрома фашистских войск в Заполярье и освобождения Северной Норвегии, участниками которого стали 40 журналистов и творческих коллективов из Мурманска и городов области.</w:t>
      </w:r>
    </w:p>
    <w:p w:rsidR="00B93BB7" w:rsidRPr="00BE108E" w:rsidRDefault="00B93BB7" w:rsidP="0055692C">
      <w:pPr>
        <w:rPr>
          <w:iCs/>
        </w:rPr>
      </w:pPr>
      <w:r w:rsidRPr="00BE108E">
        <w:rPr>
          <w:iCs/>
        </w:rPr>
        <w:t xml:space="preserve">Впервые в целях повышения открытости деятельности </w:t>
      </w:r>
      <w:r w:rsidR="0083380D" w:rsidRPr="00BE108E">
        <w:rPr>
          <w:iCs/>
        </w:rPr>
        <w:t>органов власти</w:t>
      </w:r>
      <w:r w:rsidRPr="00BE108E">
        <w:rPr>
          <w:iCs/>
        </w:rPr>
        <w:t xml:space="preserve"> и качества работы СМИ был проведен Форум средств массовой информации региона</w:t>
      </w:r>
      <w:r w:rsidR="002105E3">
        <w:rPr>
          <w:iCs/>
        </w:rPr>
        <w:t>, участниками которого стали 150 представителей средств массовой информации</w:t>
      </w:r>
      <w:r w:rsidRPr="00BE108E">
        <w:rPr>
          <w:iCs/>
        </w:rPr>
        <w:t>.</w:t>
      </w:r>
    </w:p>
    <w:p w:rsidR="00B93BB7" w:rsidRPr="00BE108E" w:rsidRDefault="00B93BB7" w:rsidP="0055692C">
      <w:pPr>
        <w:rPr>
          <w:iCs/>
        </w:rPr>
      </w:pPr>
      <w:r w:rsidRPr="00BE108E">
        <w:rPr>
          <w:iCs/>
        </w:rPr>
        <w:t>За 2014 год было выпущено 250 номеров газеты «Мурманский вестник». Продолжено бесплатное распространение газеты среди малообеспеченных и социально-незащищенных слоев населения региона, доля бесплатно распространенного тиража составила 55%.</w:t>
      </w:r>
      <w:r w:rsidRPr="00BE108E">
        <w:rPr>
          <w:iCs/>
        </w:rPr>
        <w:tab/>
      </w:r>
    </w:p>
    <w:p w:rsidR="00B93BB7" w:rsidRPr="00BE108E" w:rsidRDefault="00B93BB7" w:rsidP="0055692C">
      <w:r w:rsidRPr="00BE108E">
        <w:t xml:space="preserve">В рамках </w:t>
      </w:r>
      <w:r w:rsidRPr="00BE108E">
        <w:rPr>
          <w:b/>
        </w:rPr>
        <w:t>обеспечения использования результатов космической деятельности в целях повышения качества принятия управленческих решений</w:t>
      </w:r>
      <w:r w:rsidRPr="00BE108E">
        <w:t xml:space="preserve"> в 2014 году осуществлялось развитие геоинформационного портала Мурманской области. </w:t>
      </w:r>
    </w:p>
    <w:p w:rsidR="00B93BB7" w:rsidRPr="00BE108E" w:rsidRDefault="00B93BB7" w:rsidP="0055692C">
      <w:pPr>
        <w:rPr>
          <w:iCs/>
        </w:rPr>
      </w:pPr>
      <w:r w:rsidRPr="00BE108E">
        <w:t>Кроме того, было приобретено дополнительное программное обеспечение для централизованного управления геодезическими базовыми станциями региональной инфраструктуры пространственных данных. На конец 2014 года готовность центра управления сетью составила 30%, количество установленных и привязанных к местной системе координат базовых станций – 5 единиц. В дальнейшем планируется расширение сети референтных станций для охвата всей территории области.</w:t>
      </w:r>
    </w:p>
    <w:p w:rsidR="00B93BB7" w:rsidRPr="00DD1B63" w:rsidRDefault="00B93BB7" w:rsidP="0055692C">
      <w:pPr>
        <w:rPr>
          <w:strike/>
        </w:rPr>
      </w:pPr>
      <w:r w:rsidRPr="00BE108E">
        <w:t xml:space="preserve">Из 24 предусмотренных к выполнению в 2014 году показателей государственной программы, 23 достигнуты с высокой степенью, 1 показатель значительно перевыполнен. </w:t>
      </w:r>
    </w:p>
    <w:p w:rsidR="00B93BB7" w:rsidRPr="00BE108E" w:rsidRDefault="00B93BB7" w:rsidP="0055692C">
      <w:r w:rsidRPr="00BE108E">
        <w:t>Средняя степень достижения показателей программы составила 118,2%.</w:t>
      </w:r>
    </w:p>
    <w:p w:rsidR="00B93BB7" w:rsidRPr="00BE108E" w:rsidRDefault="00B93BB7" w:rsidP="0055692C">
      <w:r w:rsidRPr="00BE108E">
        <w:lastRenderedPageBreak/>
        <w:t>В соответствии с утвержденной методикой уровень эффективности реализации государственной программы оценивается как высокий (значения всех критериев выше 95%).</w:t>
      </w:r>
    </w:p>
    <w:p w:rsidR="00FF4E43" w:rsidRPr="00BE108E" w:rsidRDefault="00FF4E43" w:rsidP="00FF4E43">
      <w:pPr>
        <w:pStyle w:val="ConsPlusCell"/>
        <w:ind w:firstLine="709"/>
        <w:jc w:val="both"/>
        <w:rPr>
          <w:rStyle w:val="FontStyle14"/>
          <w:sz w:val="28"/>
          <w:szCs w:val="28"/>
        </w:rPr>
      </w:pPr>
    </w:p>
    <w:p w:rsidR="00CB5039" w:rsidRPr="00BE108E" w:rsidRDefault="00CB5039" w:rsidP="00CB5039">
      <w:pPr>
        <w:pStyle w:val="1"/>
      </w:pPr>
      <w:r w:rsidRPr="00BE108E">
        <w:t>Государственная программа 16 «Управление региональными финансами, создание условий для эффективного и ответственного управления муниципальными финансами»</w:t>
      </w:r>
    </w:p>
    <w:p w:rsidR="000F218D" w:rsidRPr="00BE108E" w:rsidRDefault="000F218D" w:rsidP="000F218D">
      <w:pPr>
        <w:pStyle w:val="ConsPlusCell"/>
        <w:ind w:firstLine="709"/>
        <w:jc w:val="both"/>
        <w:rPr>
          <w:rStyle w:val="FontStyle14"/>
          <w:sz w:val="28"/>
          <w:szCs w:val="28"/>
        </w:rPr>
      </w:pPr>
    </w:p>
    <w:p w:rsidR="00CB5039" w:rsidRDefault="000F218D" w:rsidP="000F218D">
      <w:pPr>
        <w:ind w:firstLine="0"/>
        <w:rPr>
          <w:rStyle w:val="FontStyle14"/>
          <w:sz w:val="28"/>
          <w:szCs w:val="28"/>
        </w:rPr>
      </w:pPr>
      <w:r w:rsidRPr="00BE108E">
        <w:rPr>
          <w:noProof/>
        </w:rPr>
        <w:drawing>
          <wp:inline distT="0" distB="0" distL="0" distR="0">
            <wp:extent cx="2445489" cy="3136605"/>
            <wp:effectExtent l="0" t="0" r="12065" b="26035"/>
            <wp:docPr id="32" name="Диаграмма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r w:rsidRPr="00BE108E">
        <w:rPr>
          <w:rStyle w:val="FontStyle14"/>
          <w:sz w:val="28"/>
          <w:szCs w:val="28"/>
        </w:rPr>
        <w:t xml:space="preserve"> </w:t>
      </w:r>
      <w:r w:rsidRPr="00BE108E">
        <w:rPr>
          <w:noProof/>
        </w:rPr>
        <w:drawing>
          <wp:inline distT="0" distB="0" distL="0" distR="0">
            <wp:extent cx="3572539" cy="3147237"/>
            <wp:effectExtent l="0" t="0" r="27940" b="1524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C13F31" w:rsidRDefault="00C13F31" w:rsidP="00C13F31">
      <w:pPr>
        <w:ind w:firstLine="0"/>
        <w:jc w:val="center"/>
        <w:rPr>
          <w:sz w:val="24"/>
        </w:rPr>
      </w:pPr>
      <w:r w:rsidRPr="00C13F31">
        <w:rPr>
          <w:sz w:val="24"/>
        </w:rPr>
        <w:t xml:space="preserve">Рисунок </w:t>
      </w:r>
      <w:r w:rsidR="00B91DC4">
        <w:rPr>
          <w:sz w:val="24"/>
        </w:rPr>
        <w:t>20</w:t>
      </w:r>
    </w:p>
    <w:p w:rsidR="00AE272B" w:rsidRPr="00BE108E" w:rsidRDefault="00AE272B" w:rsidP="000F218D">
      <w:pPr>
        <w:ind w:firstLine="0"/>
        <w:rPr>
          <w:szCs w:val="28"/>
        </w:rPr>
      </w:pPr>
    </w:p>
    <w:p w:rsidR="00CB5039" w:rsidRPr="00BE108E" w:rsidRDefault="00CB5039" w:rsidP="00CB5039">
      <w:pPr>
        <w:rPr>
          <w:szCs w:val="28"/>
        </w:rPr>
      </w:pPr>
      <w:r w:rsidRPr="00BE108E">
        <w:rPr>
          <w:szCs w:val="28"/>
        </w:rPr>
        <w:t xml:space="preserve">Общий объем финансовых средств, предусмотренных на реализацию госпрограммы, планировался в объеме 4 785,7 млн. рублей. Фактически израсходовано 4 771,5 млн. рублей (99,7% плановых бюджетных назначений), в том числе за счет средств областного бюджета </w:t>
      </w:r>
      <w:r w:rsidR="004A2E7A" w:rsidRPr="00BE108E">
        <w:rPr>
          <w:szCs w:val="28"/>
        </w:rPr>
        <w:t>–</w:t>
      </w:r>
      <w:r w:rsidRPr="00BE108E">
        <w:rPr>
          <w:szCs w:val="28"/>
        </w:rPr>
        <w:t xml:space="preserve"> 3 103 млн. рублей (99,5%), средства федерального бюджета освоены в запланированном объеме 1 668,5 млн. рублей.</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С целью </w:t>
      </w:r>
      <w:r w:rsidRPr="00BE108E">
        <w:rPr>
          <w:rFonts w:eastAsiaTheme="minorHAnsi"/>
          <w:b/>
          <w:szCs w:val="28"/>
        </w:rPr>
        <w:t xml:space="preserve">повышения качества бюджетного процесса в Мурманской области </w:t>
      </w:r>
      <w:r w:rsidRPr="00BE108E">
        <w:rPr>
          <w:rFonts w:eastAsiaTheme="minorHAnsi"/>
          <w:szCs w:val="28"/>
        </w:rPr>
        <w:t>в 2014 году продолжено совершенствование нормативно-правового регулирования в бюджетно-финансовой сфере.</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Внесены изменения в закон Мурманской области «О бюджетном процессе в Мурманской области» предусматривающие, в том числе, расширение бюджетных полномочий Мурманской областной Думы при рассмотрении проектов гос</w:t>
      </w:r>
      <w:r w:rsidR="004A2E7A" w:rsidRPr="00BE108E">
        <w:rPr>
          <w:rFonts w:eastAsiaTheme="minorHAnsi"/>
          <w:szCs w:val="28"/>
        </w:rPr>
        <w:t xml:space="preserve">ударственных </w:t>
      </w:r>
      <w:r w:rsidRPr="00BE108E">
        <w:rPr>
          <w:rFonts w:eastAsiaTheme="minorHAnsi"/>
          <w:szCs w:val="28"/>
        </w:rPr>
        <w:t xml:space="preserve">программ Мурманской области и предложений по внесению </w:t>
      </w:r>
      <w:r w:rsidR="004A2E7A" w:rsidRPr="00BE108E">
        <w:rPr>
          <w:rFonts w:eastAsiaTheme="minorHAnsi"/>
          <w:szCs w:val="28"/>
        </w:rPr>
        <w:t xml:space="preserve">в них </w:t>
      </w:r>
      <w:r w:rsidRPr="00BE108E">
        <w:rPr>
          <w:rFonts w:eastAsiaTheme="minorHAnsi"/>
          <w:szCs w:val="28"/>
        </w:rPr>
        <w:t>изменений.</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На основе установленных направлений бюджетной и налоговой политики региона, уточненных проектировок государственных программ Мурманской области, показателей прогноза социально-экономического развития Мурманской области сформирован Закон Мурманской области «Об областном бюджете на 2015 год и на плановый период 2016 и 2017 годов», определены </w:t>
      </w:r>
      <w:r w:rsidRPr="00BE108E">
        <w:rPr>
          <w:rFonts w:eastAsiaTheme="minorHAnsi"/>
          <w:szCs w:val="28"/>
        </w:rPr>
        <w:lastRenderedPageBreak/>
        <w:t xml:space="preserve">основные требования и меры, обязательные к исполнению в ходе его реализации. </w:t>
      </w:r>
    </w:p>
    <w:p w:rsidR="00CB5039" w:rsidRPr="00BE108E" w:rsidRDefault="00CB5039" w:rsidP="00CB5039">
      <w:pPr>
        <w:autoSpaceDE w:val="0"/>
        <w:autoSpaceDN w:val="0"/>
        <w:adjustRightInd w:val="0"/>
        <w:rPr>
          <w:rFonts w:eastAsia="Times New Roman"/>
          <w:i/>
          <w:szCs w:val="28"/>
          <w:shd w:val="clear" w:color="auto" w:fill="FFFFFF"/>
        </w:rPr>
      </w:pPr>
      <w:r w:rsidRPr="00BE108E">
        <w:rPr>
          <w:szCs w:val="28"/>
          <w:shd w:val="clear" w:color="auto" w:fill="FFFFFF"/>
        </w:rPr>
        <w:t xml:space="preserve">В соответствии с рекомендациями федеральных органов власти и в целях возможного привлечения средств федерального бюджета на реализацию </w:t>
      </w:r>
      <w:r w:rsidRPr="00BE108E">
        <w:rPr>
          <w:rFonts w:eastAsiaTheme="minorHAnsi"/>
          <w:szCs w:val="28"/>
        </w:rPr>
        <w:t>региональных программ повышения эффективности бюджетных расходов п</w:t>
      </w:r>
      <w:r w:rsidRPr="00BE108E">
        <w:rPr>
          <w:szCs w:val="28"/>
          <w:shd w:val="clear" w:color="auto" w:fill="FFFFFF"/>
        </w:rPr>
        <w:t>одготовлена комплексная программа Мурманской области «Повышение эффективности управления государственными финансами Мурманской области на период до 2020 года»</w:t>
      </w:r>
      <w:r w:rsidRPr="00BE108E">
        <w:rPr>
          <w:i/>
          <w:szCs w:val="28"/>
          <w:shd w:val="clear" w:color="auto" w:fill="FFFFFF"/>
        </w:rPr>
        <w:t>.</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За отчетный период разработано и утверждено 14 нормативных правовых актов Министерства финансов Мурманской области, регулирующих вопросы организации и исполнения областного бюджета. Бюджетные проектировки на 2014 год и плановый период 2015 и 2016 годов трижды уточнялись законами Мурманской области. </w:t>
      </w:r>
    </w:p>
    <w:p w:rsidR="00CB5039" w:rsidRPr="00BE108E" w:rsidRDefault="00CB5039" w:rsidP="00CB5039">
      <w:pPr>
        <w:autoSpaceDE w:val="0"/>
        <w:autoSpaceDN w:val="0"/>
        <w:adjustRightInd w:val="0"/>
        <w:rPr>
          <w:szCs w:val="28"/>
        </w:rPr>
      </w:pPr>
      <w:r w:rsidRPr="00BE108E">
        <w:rPr>
          <w:szCs w:val="28"/>
        </w:rPr>
        <w:t xml:space="preserve">В целях </w:t>
      </w:r>
      <w:r w:rsidRPr="00BE108E">
        <w:rPr>
          <w:b/>
          <w:szCs w:val="28"/>
        </w:rPr>
        <w:t xml:space="preserve">повышения прозрачности бюджетов и открытости бюджетного процесса </w:t>
      </w:r>
      <w:r w:rsidRPr="00BE108E">
        <w:rPr>
          <w:szCs w:val="28"/>
        </w:rPr>
        <w:t xml:space="preserve">осуществлена интеграция программных комплексов по автоматизации планирования и исполнения бюджета, ведения отчетности и единого портала бюджетной системы Мурманской области «Бюджет для всех». Востребованность портала «Бюджет для всех» подтверждается постоянно растущей статистикой его посещения. </w:t>
      </w:r>
      <w:r w:rsidRPr="00BE108E">
        <w:rPr>
          <w:szCs w:val="28"/>
          <w:shd w:val="clear" w:color="auto" w:fill="FFFFFF"/>
        </w:rPr>
        <w:t>В качестве полиграфического аналога портала в 2014 году в печатном формате опубликованы 3 издания брошюры «Бюджетный гид» и 4 издания размещены на портале, с их помощью осуществлялись публичные обсуждения законов об областном бюджете.</w:t>
      </w:r>
      <w:r w:rsidRPr="00BE108E">
        <w:rPr>
          <w:szCs w:val="28"/>
        </w:rPr>
        <w:t xml:space="preserve"> Для вовлечения населения области в процесс управления общественными финансами в отчетном году проведен конкурс проектных работ «Бюджет для граждан», целью которого являлся перевод бюджетных данных в формат</w:t>
      </w:r>
      <w:r w:rsidR="0055692C">
        <w:rPr>
          <w:szCs w:val="28"/>
        </w:rPr>
        <w:t>,</w:t>
      </w:r>
      <w:r w:rsidRPr="00BE108E">
        <w:rPr>
          <w:szCs w:val="28"/>
        </w:rPr>
        <w:t xml:space="preserve"> доступный для восприятия неподготовленного пользователя.</w:t>
      </w:r>
      <w:r w:rsidR="006D111C" w:rsidRPr="00BE108E">
        <w:rPr>
          <w:szCs w:val="28"/>
        </w:rPr>
        <w:t xml:space="preserve"> </w:t>
      </w:r>
    </w:p>
    <w:p w:rsidR="00CB5039" w:rsidRPr="00BE108E" w:rsidRDefault="00CB5039" w:rsidP="00CB5039">
      <w:pPr>
        <w:pStyle w:val="a5"/>
        <w:ind w:left="0"/>
        <w:rPr>
          <w:rFonts w:ascii="Times New Roman" w:hAnsi="Times New Roman"/>
          <w:szCs w:val="28"/>
        </w:rPr>
      </w:pPr>
      <w:r w:rsidRPr="00BE108E">
        <w:rPr>
          <w:rFonts w:ascii="Times New Roman" w:hAnsi="Times New Roman"/>
          <w:szCs w:val="28"/>
        </w:rPr>
        <w:t>По итогам 2014 года среди субъектов Российской Федерации по Северо-Западному федеральному округу Мурманская область заняла первое место по уровню открытости бюджетных данных, и 2-ю позицию в рейтинге открытости и прозрачности государственных и муниципальных учреждений.</w:t>
      </w:r>
    </w:p>
    <w:p w:rsidR="00CB5039" w:rsidRPr="00BE108E" w:rsidRDefault="00CB5039" w:rsidP="00CB5039">
      <w:pPr>
        <w:autoSpaceDE w:val="0"/>
        <w:autoSpaceDN w:val="0"/>
        <w:adjustRightInd w:val="0"/>
        <w:rPr>
          <w:szCs w:val="28"/>
        </w:rPr>
      </w:pPr>
      <w:r w:rsidRPr="00BE108E">
        <w:rPr>
          <w:rFonts w:eastAsiaTheme="minorHAnsi"/>
          <w:szCs w:val="28"/>
        </w:rPr>
        <w:t xml:space="preserve">Для </w:t>
      </w:r>
      <w:r w:rsidRPr="00BE108E">
        <w:rPr>
          <w:rFonts w:eastAsiaTheme="minorHAnsi"/>
          <w:b/>
          <w:szCs w:val="28"/>
        </w:rPr>
        <w:t>снижения долговой нагрузки на бюджет</w:t>
      </w:r>
      <w:r w:rsidRPr="00BE108E">
        <w:rPr>
          <w:rFonts w:eastAsiaTheme="minorHAnsi"/>
          <w:szCs w:val="28"/>
        </w:rPr>
        <w:t xml:space="preserve"> с 2014 года в Мурманской области реализуется План мероприятий по росту доходов, оптимизации расходов и совершенствованию долго</w:t>
      </w:r>
      <w:r w:rsidR="00B91DC4">
        <w:rPr>
          <w:rFonts w:eastAsiaTheme="minorHAnsi"/>
          <w:szCs w:val="28"/>
        </w:rPr>
        <w:t>вой политики Мурманской области</w:t>
      </w:r>
      <w:r w:rsidRPr="00BE108E">
        <w:rPr>
          <w:rFonts w:eastAsiaTheme="minorHAnsi"/>
          <w:szCs w:val="28"/>
        </w:rPr>
        <w:t>. За 2014 год план исполнен на 94%, дополнительные доходы консолидированного бюджета Мурманской области составили 375,7 млн. рублей, расходы бюджета удалось снизить на 1 839,4 млн</w:t>
      </w:r>
      <w:r w:rsidRPr="00BE108E">
        <w:rPr>
          <w:szCs w:val="28"/>
        </w:rPr>
        <w:t>. рублей.</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В 2014 году продолжено использование механизма привлечения временно свободных остатков средств государственных бюджетных и автономных учреждений, что позволило своевременно покрывать кассовые разрывы, возникающие при исполнении областного бюджета, существенно сокращать сроки привлечения кредитных ресурсов и, соответственно, экономить на процентных платежах при обслуживании государственного долга.</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Для экономии бюджетных ассигнований, предусмотренных на обслуживание государственного долга, в Управлении Федерального казначейства привлекались бюджетные кредиты на пополнение остатков </w:t>
      </w:r>
      <w:r w:rsidRPr="00BE108E">
        <w:rPr>
          <w:rFonts w:eastAsiaTheme="minorHAnsi"/>
          <w:szCs w:val="28"/>
        </w:rPr>
        <w:lastRenderedPageBreak/>
        <w:t>средств областного бюджета с минимальной процентной ставкой за пользование кредитами в размере 0,1% годовых. В соответствии с заключенным договором из федерального бюджета в 2014 году был</w:t>
      </w:r>
      <w:r w:rsidR="004A2E7A" w:rsidRPr="00BE108E">
        <w:rPr>
          <w:rFonts w:eastAsiaTheme="minorHAnsi"/>
          <w:szCs w:val="28"/>
        </w:rPr>
        <w:t>и</w:t>
      </w:r>
      <w:r w:rsidRPr="00BE108E">
        <w:rPr>
          <w:rFonts w:eastAsiaTheme="minorHAnsi"/>
          <w:szCs w:val="28"/>
        </w:rPr>
        <w:t xml:space="preserve"> временно привлечен</w:t>
      </w:r>
      <w:r w:rsidR="004A2E7A" w:rsidRPr="00BE108E">
        <w:rPr>
          <w:rFonts w:eastAsiaTheme="minorHAnsi"/>
          <w:szCs w:val="28"/>
        </w:rPr>
        <w:t>ы</w:t>
      </w:r>
      <w:r w:rsidRPr="00BE108E">
        <w:rPr>
          <w:rFonts w:eastAsiaTheme="minorHAnsi"/>
          <w:szCs w:val="28"/>
        </w:rPr>
        <w:t xml:space="preserve"> бюджетны</w:t>
      </w:r>
      <w:r w:rsidR="004A2E7A" w:rsidRPr="00BE108E">
        <w:rPr>
          <w:rFonts w:eastAsiaTheme="minorHAnsi"/>
          <w:szCs w:val="28"/>
        </w:rPr>
        <w:t>е</w:t>
      </w:r>
      <w:r w:rsidRPr="00BE108E">
        <w:rPr>
          <w:rFonts w:eastAsiaTheme="minorHAnsi"/>
          <w:szCs w:val="28"/>
        </w:rPr>
        <w:t xml:space="preserve"> кредит</w:t>
      </w:r>
      <w:r w:rsidR="004A2E7A" w:rsidRPr="00BE108E">
        <w:rPr>
          <w:rFonts w:eastAsiaTheme="minorHAnsi"/>
          <w:szCs w:val="28"/>
        </w:rPr>
        <w:t>ы</w:t>
      </w:r>
      <w:r w:rsidRPr="00BE108E">
        <w:rPr>
          <w:rFonts w:eastAsiaTheme="minorHAnsi"/>
          <w:szCs w:val="28"/>
        </w:rPr>
        <w:t xml:space="preserve"> в размере 9 млрд. рублей.</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В связи с досрочным погашением </w:t>
      </w:r>
      <w:r w:rsidR="004A2E7A" w:rsidRPr="00BE108E">
        <w:rPr>
          <w:rFonts w:eastAsiaTheme="minorHAnsi"/>
          <w:szCs w:val="28"/>
        </w:rPr>
        <w:t xml:space="preserve">кредитным организациям </w:t>
      </w:r>
      <w:r w:rsidRPr="00BE108E">
        <w:rPr>
          <w:rFonts w:eastAsiaTheme="minorHAnsi"/>
          <w:szCs w:val="28"/>
        </w:rPr>
        <w:t>кредитов в размере 3 900 млн. рублей экономия бюджетных средств на обслуживание долга составила 24,2 млн.</w:t>
      </w:r>
      <w:r w:rsidR="004A2E7A" w:rsidRPr="00BE108E">
        <w:rPr>
          <w:rFonts w:eastAsiaTheme="minorHAnsi"/>
          <w:szCs w:val="28"/>
        </w:rPr>
        <w:t xml:space="preserve"> </w:t>
      </w:r>
      <w:r w:rsidRPr="00BE108E">
        <w:rPr>
          <w:rFonts w:eastAsiaTheme="minorHAnsi"/>
          <w:szCs w:val="28"/>
        </w:rPr>
        <w:t>рублей.</w:t>
      </w:r>
    </w:p>
    <w:p w:rsidR="00CB5039" w:rsidRPr="00BE108E" w:rsidRDefault="00CB5039" w:rsidP="00CB5039">
      <w:pPr>
        <w:pStyle w:val="af0"/>
        <w:tabs>
          <w:tab w:val="left" w:pos="993"/>
        </w:tabs>
        <w:ind w:firstLine="709"/>
        <w:jc w:val="both"/>
        <w:rPr>
          <w:rFonts w:eastAsiaTheme="minorHAnsi"/>
          <w:b/>
          <w:sz w:val="28"/>
          <w:szCs w:val="28"/>
        </w:rPr>
      </w:pPr>
      <w:r w:rsidRPr="00BE108E">
        <w:rPr>
          <w:rFonts w:eastAsia="+mn-ea"/>
          <w:sz w:val="28"/>
          <w:szCs w:val="28"/>
        </w:rPr>
        <w:t>Приемлемость уровня риска исполнения расходных обязательств в связи с погашением государственного долга Мурманской области за 2014 год сложилась на</w:t>
      </w:r>
      <w:r w:rsidR="004A2E7A" w:rsidRPr="00BE108E">
        <w:rPr>
          <w:rFonts w:eastAsia="+mn-ea"/>
          <w:sz w:val="28"/>
          <w:szCs w:val="28"/>
        </w:rPr>
        <w:t xml:space="preserve"> уровне выше ожидаемого (-16,7% против -</w:t>
      </w:r>
      <w:r w:rsidRPr="00BE108E">
        <w:rPr>
          <w:rFonts w:eastAsia="+mn-ea"/>
          <w:sz w:val="28"/>
          <w:szCs w:val="28"/>
        </w:rPr>
        <w:t xml:space="preserve">20,1%). </w:t>
      </w:r>
    </w:p>
    <w:p w:rsidR="00CB5039" w:rsidRPr="00BE108E" w:rsidRDefault="00CB5039" w:rsidP="00CB5039">
      <w:pPr>
        <w:pStyle w:val="a5"/>
        <w:ind w:left="0"/>
        <w:rPr>
          <w:rFonts w:ascii="Times New Roman" w:hAnsi="Times New Roman"/>
          <w:szCs w:val="28"/>
        </w:rPr>
      </w:pPr>
      <w:r w:rsidRPr="00BE108E">
        <w:rPr>
          <w:rFonts w:ascii="Times New Roman" w:hAnsi="Times New Roman"/>
          <w:szCs w:val="28"/>
        </w:rPr>
        <w:t xml:space="preserve">С целью </w:t>
      </w:r>
      <w:r w:rsidRPr="00BE108E">
        <w:rPr>
          <w:rFonts w:ascii="Times New Roman" w:hAnsi="Times New Roman"/>
          <w:b/>
          <w:szCs w:val="28"/>
        </w:rPr>
        <w:t>формирования единого информационного пространства в сфере управления общественными финансами</w:t>
      </w:r>
      <w:r w:rsidRPr="00BE108E">
        <w:rPr>
          <w:rFonts w:ascii="Times New Roman" w:hAnsi="Times New Roman"/>
          <w:szCs w:val="28"/>
        </w:rPr>
        <w:t xml:space="preserve"> развернут и введен в промышленную эксплуатацию программно-аппаратный комплекс, позволяющий повысить скорость и стабильность работы автоматизированных информационных систем программно-целевого планирования, анализа и</w:t>
      </w:r>
      <w:r w:rsidR="006D111C" w:rsidRPr="00BE108E">
        <w:rPr>
          <w:rFonts w:ascii="Times New Roman" w:hAnsi="Times New Roman"/>
          <w:szCs w:val="28"/>
        </w:rPr>
        <w:t xml:space="preserve"> </w:t>
      </w:r>
      <w:r w:rsidRPr="00BE108E">
        <w:rPr>
          <w:rFonts w:ascii="Times New Roman" w:hAnsi="Times New Roman"/>
          <w:szCs w:val="28"/>
        </w:rPr>
        <w:t>исполнения бюджета и ведения отчетности. Автоматизированная система программно-целевого планирования бюджетов внедрена в 11 муниципальных образовани</w:t>
      </w:r>
      <w:r w:rsidR="0055692C">
        <w:rPr>
          <w:rFonts w:ascii="Times New Roman" w:hAnsi="Times New Roman"/>
          <w:szCs w:val="28"/>
        </w:rPr>
        <w:t>ях</w:t>
      </w:r>
      <w:r w:rsidRPr="00BE108E">
        <w:rPr>
          <w:rFonts w:ascii="Times New Roman" w:hAnsi="Times New Roman"/>
          <w:szCs w:val="28"/>
        </w:rPr>
        <w:t>.</w:t>
      </w:r>
    </w:p>
    <w:p w:rsidR="00CB5039" w:rsidRPr="00BE108E" w:rsidRDefault="00CB5039" w:rsidP="00CB5039">
      <w:pPr>
        <w:autoSpaceDE w:val="0"/>
        <w:autoSpaceDN w:val="0"/>
        <w:adjustRightInd w:val="0"/>
        <w:rPr>
          <w:rFonts w:eastAsiaTheme="minorHAnsi"/>
          <w:color w:val="FF0000"/>
          <w:szCs w:val="28"/>
        </w:rPr>
      </w:pPr>
      <w:r w:rsidRPr="00BE108E">
        <w:rPr>
          <w:rFonts w:eastAsiaTheme="minorHAnsi"/>
          <w:szCs w:val="28"/>
        </w:rPr>
        <w:t>Вместе с тем, в связи с разработкой расширенной модели системы</w:t>
      </w:r>
      <w:r w:rsidR="006D111C" w:rsidRPr="00BE108E">
        <w:rPr>
          <w:rFonts w:eastAsiaTheme="minorHAnsi"/>
          <w:color w:val="FF0000"/>
          <w:szCs w:val="28"/>
        </w:rPr>
        <w:t xml:space="preserve"> </w:t>
      </w:r>
      <w:r w:rsidRPr="00BE108E">
        <w:rPr>
          <w:rFonts w:eastAsiaTheme="minorHAnsi"/>
          <w:szCs w:val="28"/>
        </w:rPr>
        <w:t xml:space="preserve">для наиболее полного представления информации в отчетном году не удалось приступить к внедрению дифференцированного доступа к портальной системе «Бюджет для всех» (личные кабинеты). </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В рамках </w:t>
      </w:r>
      <w:r w:rsidRPr="00BE108E">
        <w:rPr>
          <w:rFonts w:eastAsiaTheme="minorHAnsi"/>
          <w:b/>
          <w:szCs w:val="28"/>
        </w:rPr>
        <w:t xml:space="preserve">государственного финансового контроля и надзора </w:t>
      </w:r>
      <w:r w:rsidRPr="00BE108E">
        <w:rPr>
          <w:rFonts w:eastAsiaTheme="minorHAnsi"/>
          <w:szCs w:val="28"/>
        </w:rPr>
        <w:t>в 2014 году проведено 40 плановых контрольных мероприятий, нарушений установленных сроков проверок не допущено.</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Объем проверенных финансовых средств составил около 3,7 млрд. рублей, в том числе 3,65 млрд. руб. – средства областного бюджета, 30,3 млн. руб. – федерального, 3,5 млн. руб. – средства местных бюджетов.</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 xml:space="preserve">По результатам контрольных мероприятий выдано 25 предписаний об устранении нарушений действующего законодательства и 19 представлений о рассмотрении выявленных в финансово-хозяйственной деятельности нарушений и недостатков. </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По фактам выявленных правонарушений в области бюджетного законодательства наложено штрафов на сумму 140</w:t>
      </w:r>
      <w:r w:rsidR="004A2E7A" w:rsidRPr="00BE108E">
        <w:rPr>
          <w:rFonts w:eastAsiaTheme="minorHAnsi"/>
          <w:szCs w:val="28"/>
        </w:rPr>
        <w:t xml:space="preserve"> </w:t>
      </w:r>
      <w:r w:rsidRPr="00BE108E">
        <w:rPr>
          <w:rFonts w:eastAsiaTheme="minorHAnsi"/>
          <w:szCs w:val="28"/>
        </w:rPr>
        <w:t>тыс.</w:t>
      </w:r>
      <w:r w:rsidR="004A2E7A" w:rsidRPr="00BE108E">
        <w:rPr>
          <w:rFonts w:eastAsiaTheme="minorHAnsi"/>
          <w:szCs w:val="28"/>
        </w:rPr>
        <w:t xml:space="preserve"> </w:t>
      </w:r>
      <w:r w:rsidRPr="00BE108E">
        <w:rPr>
          <w:rFonts w:eastAsiaTheme="minorHAnsi"/>
          <w:szCs w:val="28"/>
        </w:rPr>
        <w:t>рублей, в сфере закупок</w:t>
      </w:r>
      <w:r w:rsidR="004A2E7A" w:rsidRPr="00BE108E">
        <w:rPr>
          <w:rFonts w:eastAsiaTheme="minorHAnsi"/>
          <w:szCs w:val="28"/>
        </w:rPr>
        <w:t> – </w:t>
      </w:r>
      <w:r w:rsidRPr="00BE108E">
        <w:rPr>
          <w:rFonts w:eastAsiaTheme="minorHAnsi"/>
          <w:szCs w:val="28"/>
        </w:rPr>
        <w:t>на</w:t>
      </w:r>
      <w:r w:rsidR="004A2E7A" w:rsidRPr="00BE108E">
        <w:rPr>
          <w:rFonts w:eastAsiaTheme="minorHAnsi"/>
          <w:szCs w:val="28"/>
        </w:rPr>
        <w:t xml:space="preserve"> </w:t>
      </w:r>
      <w:r w:rsidRPr="00BE108E">
        <w:rPr>
          <w:rFonts w:eastAsiaTheme="minorHAnsi"/>
          <w:szCs w:val="28"/>
        </w:rPr>
        <w:t>489 тыс. рублей. Кроме того, по итогам 7 контрольных мероприятий материалы направлены в правоохранительные и надзорные органы.</w:t>
      </w:r>
    </w:p>
    <w:p w:rsidR="00CB5039" w:rsidRPr="00BE108E" w:rsidRDefault="00CB5039" w:rsidP="00CB5039">
      <w:pPr>
        <w:autoSpaceDE w:val="0"/>
        <w:autoSpaceDN w:val="0"/>
        <w:adjustRightInd w:val="0"/>
        <w:rPr>
          <w:bCs/>
          <w:kern w:val="28"/>
          <w:szCs w:val="28"/>
        </w:rPr>
      </w:pPr>
      <w:r w:rsidRPr="00BE108E">
        <w:rPr>
          <w:rFonts w:eastAsiaTheme="minorHAnsi"/>
          <w:szCs w:val="28"/>
        </w:rPr>
        <w:t>В сфере</w:t>
      </w:r>
      <w:r w:rsidRPr="00BE108E">
        <w:rPr>
          <w:rFonts w:eastAsiaTheme="minorHAnsi"/>
          <w:b/>
          <w:szCs w:val="28"/>
        </w:rPr>
        <w:t xml:space="preserve"> </w:t>
      </w:r>
      <w:r w:rsidRPr="00BE108E">
        <w:rPr>
          <w:rFonts w:eastAsiaTheme="minorHAnsi"/>
          <w:szCs w:val="28"/>
        </w:rPr>
        <w:t xml:space="preserve">повышения </w:t>
      </w:r>
      <w:r w:rsidRPr="00BE108E">
        <w:rPr>
          <w:rFonts w:eastAsiaTheme="minorHAnsi"/>
          <w:b/>
          <w:szCs w:val="28"/>
        </w:rPr>
        <w:t>результативности использования бюджетных средств при осуществлении закупок</w:t>
      </w:r>
      <w:r w:rsidRPr="00BE108E">
        <w:rPr>
          <w:rFonts w:eastAsiaTheme="minorHAnsi"/>
          <w:szCs w:val="28"/>
        </w:rPr>
        <w:t xml:space="preserve"> отмечается рост доли аукционных </w:t>
      </w:r>
      <w:r w:rsidRPr="00BE108E">
        <w:rPr>
          <w:bCs/>
          <w:kern w:val="28"/>
          <w:szCs w:val="28"/>
        </w:rPr>
        <w:t xml:space="preserve">процедур с 44% в 2013 году до 67% в 2014 году, удельный вес контрактов, заключенных с единственным поставщиком, напротив, снизился с 25,8% до 9,7% соответственно. </w:t>
      </w:r>
    </w:p>
    <w:p w:rsidR="00CB5039" w:rsidRPr="00BE108E" w:rsidRDefault="00CB5039" w:rsidP="00CB5039">
      <w:pPr>
        <w:autoSpaceDE w:val="0"/>
        <w:autoSpaceDN w:val="0"/>
        <w:adjustRightInd w:val="0"/>
        <w:rPr>
          <w:bCs/>
          <w:szCs w:val="28"/>
        </w:rPr>
      </w:pPr>
      <w:r w:rsidRPr="00BE108E">
        <w:rPr>
          <w:bCs/>
          <w:kern w:val="28"/>
          <w:szCs w:val="28"/>
        </w:rPr>
        <w:t xml:space="preserve">Экономия бюджетных средств по состоявшимся процедурам составила 3,5% (планировалось 12%), что связано с повышением качества обоснования начальной (максимальной) цены и прогнозирования контрактных обязательств. </w:t>
      </w:r>
      <w:r w:rsidRPr="00BE108E">
        <w:rPr>
          <w:bCs/>
          <w:kern w:val="28"/>
          <w:szCs w:val="28"/>
        </w:rPr>
        <w:lastRenderedPageBreak/>
        <w:t>Так, п</w:t>
      </w:r>
      <w:r w:rsidRPr="00BE108E">
        <w:rPr>
          <w:bCs/>
          <w:color w:val="000000" w:themeColor="text1"/>
          <w:szCs w:val="28"/>
        </w:rPr>
        <w:t xml:space="preserve">роведено 6103 экспертизы </w:t>
      </w:r>
      <w:r w:rsidRPr="00BE108E">
        <w:rPr>
          <w:bCs/>
          <w:szCs w:val="28"/>
        </w:rPr>
        <w:t>обоснования начальной (максимальной) цены</w:t>
      </w:r>
      <w:r w:rsidR="0055692C">
        <w:rPr>
          <w:bCs/>
          <w:szCs w:val="28"/>
        </w:rPr>
        <w:t xml:space="preserve"> контракта</w:t>
      </w:r>
      <w:r w:rsidRPr="00BE108E">
        <w:rPr>
          <w:bCs/>
          <w:szCs w:val="28"/>
        </w:rPr>
        <w:t>, на доработку направлено 28% пакетов документов, вынесено 10 отрицательных заключений по фактам завышения начальной (максимальной) цены.</w:t>
      </w:r>
    </w:p>
    <w:p w:rsidR="00CB5039" w:rsidRPr="00BE108E" w:rsidRDefault="00CB5039" w:rsidP="00CB5039">
      <w:pPr>
        <w:contextualSpacing/>
        <w:rPr>
          <w:kern w:val="28"/>
          <w:szCs w:val="28"/>
        </w:rPr>
      </w:pPr>
      <w:r w:rsidRPr="00BE108E">
        <w:rPr>
          <w:kern w:val="28"/>
          <w:szCs w:val="28"/>
        </w:rPr>
        <w:t>Внесены изменения в порядок взаимодействия заказчиков с уполномоченным органом, упрощен маршрут прохождения заявок, максимальный срок проведения экспертизы и размещения документации на официальном сайте сокращен с 22 до 14 дней, фактически средний срок сократился с 15,6 дня в первом полугодии до 4 дней в конце года.</w:t>
      </w:r>
      <w:r w:rsidR="006D111C" w:rsidRPr="00BE108E">
        <w:rPr>
          <w:kern w:val="28"/>
          <w:szCs w:val="28"/>
        </w:rPr>
        <w:t xml:space="preserve"> </w:t>
      </w:r>
    </w:p>
    <w:p w:rsidR="00CB5039" w:rsidRPr="00BE108E" w:rsidRDefault="00CB5039" w:rsidP="00CB5039">
      <w:pPr>
        <w:contextualSpacing/>
        <w:rPr>
          <w:kern w:val="28"/>
          <w:szCs w:val="28"/>
        </w:rPr>
      </w:pPr>
      <w:r w:rsidRPr="00BE108E">
        <w:rPr>
          <w:kern w:val="28"/>
          <w:szCs w:val="28"/>
        </w:rPr>
        <w:t xml:space="preserve">Осуществлена работа по реализации требований законодательства о контрактной системе в сфере закупок товаров, работ, услуг для обеспечения государственных и муниципальных нужд на территории Мурманской области (разработаны и приняты региональные нормативные акты, проведено 10 семинаров с представителями государственных и муниципальных заказчиков, в которых приняли участие более 400 специалистов). </w:t>
      </w:r>
    </w:p>
    <w:p w:rsidR="00CB5039" w:rsidRPr="00BE108E" w:rsidRDefault="00CB5039" w:rsidP="00CB5039">
      <w:pPr>
        <w:tabs>
          <w:tab w:val="left" w:pos="709"/>
        </w:tabs>
        <w:rPr>
          <w:szCs w:val="28"/>
        </w:rPr>
      </w:pPr>
      <w:r w:rsidRPr="00BE108E">
        <w:rPr>
          <w:rFonts w:eastAsiaTheme="minorHAnsi"/>
          <w:szCs w:val="28"/>
        </w:rPr>
        <w:t xml:space="preserve">С целью обеспечения устойчивого исполнения местных бюджетов продолжалась реализация мероприятий, направленных на </w:t>
      </w:r>
      <w:r w:rsidRPr="00BE108E">
        <w:rPr>
          <w:rFonts w:eastAsiaTheme="minorHAnsi"/>
          <w:b/>
          <w:szCs w:val="28"/>
        </w:rPr>
        <w:t>с</w:t>
      </w:r>
      <w:r w:rsidRPr="00BE108E">
        <w:rPr>
          <w:b/>
          <w:szCs w:val="28"/>
        </w:rPr>
        <w:t>овершенствование механизмов предоставления межбюджетных трансфертов и повышение качества управления муниципальными финансами.</w:t>
      </w:r>
      <w:r w:rsidRPr="00BE108E">
        <w:rPr>
          <w:szCs w:val="28"/>
        </w:rPr>
        <w:t xml:space="preserve"> </w:t>
      </w:r>
    </w:p>
    <w:p w:rsidR="00CB5039" w:rsidRPr="00BE108E" w:rsidRDefault="00CB5039" w:rsidP="00CB5039">
      <w:pPr>
        <w:tabs>
          <w:tab w:val="left" w:pos="709"/>
        </w:tabs>
        <w:rPr>
          <w:rFonts w:eastAsiaTheme="minorHAnsi"/>
          <w:szCs w:val="28"/>
        </w:rPr>
      </w:pPr>
      <w:r w:rsidRPr="00BE108E">
        <w:rPr>
          <w:szCs w:val="28"/>
        </w:rPr>
        <w:t>Д</w:t>
      </w:r>
      <w:r w:rsidRPr="00BE108E">
        <w:rPr>
          <w:rFonts w:eastAsiaTheme="minorHAnsi"/>
          <w:szCs w:val="28"/>
        </w:rPr>
        <w:t xml:space="preserve">ля всех субсидий, предоставляемых муниципальным образованиям, установлены правила и целевые показатели результативности их </w:t>
      </w:r>
      <w:r w:rsidR="004A2E7A" w:rsidRPr="00BE108E">
        <w:rPr>
          <w:rFonts w:eastAsiaTheme="minorHAnsi"/>
          <w:szCs w:val="28"/>
        </w:rPr>
        <w:t>использования</w:t>
      </w:r>
      <w:r w:rsidRPr="00BE108E">
        <w:rPr>
          <w:rFonts w:eastAsiaTheme="minorHAnsi"/>
          <w:szCs w:val="28"/>
        </w:rPr>
        <w:t xml:space="preserve">, проведена работа по консолидации субсидий, предоставляемых муниципальным образованиям (в результате сокращено 5 субсидий), актуализирован перечень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областного бюджета. </w:t>
      </w:r>
    </w:p>
    <w:p w:rsidR="00CB5039" w:rsidRPr="00BE108E" w:rsidRDefault="00CB5039" w:rsidP="00CB5039">
      <w:pPr>
        <w:widowControl w:val="0"/>
        <w:autoSpaceDE w:val="0"/>
        <w:autoSpaceDN w:val="0"/>
        <w:adjustRightInd w:val="0"/>
        <w:rPr>
          <w:rFonts w:eastAsiaTheme="minorHAnsi"/>
          <w:color w:val="FF0000"/>
          <w:szCs w:val="28"/>
        </w:rPr>
      </w:pPr>
      <w:r w:rsidRPr="00BE108E">
        <w:rPr>
          <w:rFonts w:eastAsiaTheme="minorHAnsi"/>
          <w:szCs w:val="28"/>
        </w:rPr>
        <w:t xml:space="preserve">Для обеспечения минимально гарантированного уровня бюджетной обеспеченности муниципальным образованиям из областного бюджета распределена дотация на выравнивание бюджетной обеспеченности в объеме 1 180 млн. рублей (в части городских и сельских поселений полномочия по предоставлению дотации переданы муниципальным районам с соответствующим предоставлением субвенции). После выравнивания степень сокращения дифференциации муниципальных образований по уровню бюджетной обеспеченности составила 2,3 раза (в 2013 году – 2,2 раза), что свидетельствует о снижении неравенства муниципальных образований в части бюджетной обеспеченности в результате принимаемых мер. </w:t>
      </w:r>
    </w:p>
    <w:p w:rsidR="00CB5039" w:rsidRPr="00BE108E" w:rsidRDefault="00B91DC4" w:rsidP="00CB5039">
      <w:pPr>
        <w:widowControl w:val="0"/>
        <w:autoSpaceDE w:val="0"/>
        <w:autoSpaceDN w:val="0"/>
        <w:adjustRightInd w:val="0"/>
        <w:rPr>
          <w:rFonts w:eastAsiaTheme="minorHAnsi"/>
          <w:szCs w:val="28"/>
        </w:rPr>
      </w:pPr>
      <w:r>
        <w:rPr>
          <w:rFonts w:eastAsiaTheme="minorHAnsi"/>
          <w:szCs w:val="28"/>
        </w:rPr>
        <w:t>М</w:t>
      </w:r>
      <w:r w:rsidR="00CB5039" w:rsidRPr="00BE108E">
        <w:rPr>
          <w:rFonts w:eastAsiaTheme="minorHAnsi"/>
          <w:szCs w:val="28"/>
        </w:rPr>
        <w:t xml:space="preserve">униципальным образованиям </w:t>
      </w:r>
      <w:r w:rsidRPr="00BE108E">
        <w:rPr>
          <w:rFonts w:eastAsiaTheme="minorHAnsi"/>
          <w:szCs w:val="28"/>
        </w:rPr>
        <w:t xml:space="preserve">даны рекомендации </w:t>
      </w:r>
      <w:r w:rsidR="00CB5039" w:rsidRPr="00BE108E">
        <w:rPr>
          <w:rFonts w:eastAsiaTheme="minorHAnsi"/>
          <w:szCs w:val="28"/>
        </w:rPr>
        <w:t xml:space="preserve">по принятию мер, способствующих росту доходов, оптимизации расходов и совершенствованию долговой политики, заключены 17 соглашений с высокодотационными муниципальными образованиями о мерах по повышению эффективности использования бюджетных средств и увеличению поступлений налоговых и неналоговых доходов местного бюджета. </w:t>
      </w:r>
    </w:p>
    <w:p w:rsidR="00CB5039" w:rsidRPr="00BE108E" w:rsidRDefault="00CB5039" w:rsidP="00CB5039">
      <w:pPr>
        <w:widowControl w:val="0"/>
        <w:autoSpaceDE w:val="0"/>
        <w:autoSpaceDN w:val="0"/>
        <w:adjustRightInd w:val="0"/>
        <w:rPr>
          <w:rFonts w:eastAsiaTheme="minorHAnsi"/>
          <w:szCs w:val="28"/>
        </w:rPr>
      </w:pPr>
      <w:r w:rsidRPr="00BE108E">
        <w:rPr>
          <w:rFonts w:eastAsiaTheme="minorHAnsi"/>
          <w:szCs w:val="28"/>
        </w:rPr>
        <w:t xml:space="preserve">В связи с недостаточностью собственных средств для реализации «майских» Указов Президента Российской Федерации муниципальным </w:t>
      </w:r>
      <w:r w:rsidRPr="00BE108E">
        <w:rPr>
          <w:rFonts w:eastAsiaTheme="minorHAnsi"/>
          <w:szCs w:val="28"/>
        </w:rPr>
        <w:lastRenderedPageBreak/>
        <w:t>образованиям предоставлена субсидия на повышение оплаты труда работников учреждений муниципальных образований в размере 230 млн. рублей, девять муниципальных образований получили финансовую помощь в форме дотации на обеспечение сбалансированности бюджета в общей сумме 320 млн. рублей.</w:t>
      </w:r>
    </w:p>
    <w:p w:rsidR="00CB5039" w:rsidRPr="00BE108E" w:rsidRDefault="00CB5039" w:rsidP="00CB5039">
      <w:pPr>
        <w:widowControl w:val="0"/>
        <w:autoSpaceDE w:val="0"/>
        <w:autoSpaceDN w:val="0"/>
        <w:adjustRightInd w:val="0"/>
        <w:rPr>
          <w:rFonts w:eastAsiaTheme="minorHAnsi"/>
          <w:szCs w:val="28"/>
        </w:rPr>
      </w:pPr>
      <w:r w:rsidRPr="00BE108E">
        <w:rPr>
          <w:rFonts w:eastAsiaTheme="minorHAnsi"/>
          <w:szCs w:val="28"/>
        </w:rPr>
        <w:t>Проведенные мероприятия позволили создать условия для устойчивого исполнения местных бюджетов муниципальных образований, о чем свидетельствует снижение доли просроченной кредиторской задолженности в расходах местных бюджетов на 13,5</w:t>
      </w:r>
      <w:r w:rsidR="00FB5C0B">
        <w:rPr>
          <w:rFonts w:eastAsiaTheme="minorHAnsi"/>
          <w:szCs w:val="28"/>
        </w:rPr>
        <w:t>%</w:t>
      </w:r>
      <w:r w:rsidRPr="00BE108E">
        <w:rPr>
          <w:rFonts w:eastAsiaTheme="minorHAnsi"/>
          <w:szCs w:val="28"/>
        </w:rPr>
        <w:t xml:space="preserve"> (с 1,7 до 1,47</w:t>
      </w:r>
      <w:r w:rsidR="00FB5C0B">
        <w:rPr>
          <w:rFonts w:eastAsiaTheme="minorHAnsi"/>
          <w:szCs w:val="28"/>
        </w:rPr>
        <w:t>%</w:t>
      </w:r>
      <w:r w:rsidRPr="00BE108E">
        <w:rPr>
          <w:rFonts w:eastAsiaTheme="minorHAnsi"/>
          <w:szCs w:val="28"/>
        </w:rPr>
        <w:t xml:space="preserve">). </w:t>
      </w:r>
    </w:p>
    <w:p w:rsidR="00CB5039" w:rsidRPr="00B91DC4" w:rsidRDefault="00CB5039" w:rsidP="00CB5039">
      <w:pPr>
        <w:tabs>
          <w:tab w:val="left" w:pos="709"/>
        </w:tabs>
        <w:rPr>
          <w:rFonts w:eastAsiaTheme="minorHAnsi"/>
          <w:szCs w:val="28"/>
        </w:rPr>
      </w:pPr>
      <w:r w:rsidRPr="00BE108E">
        <w:rPr>
          <w:rFonts w:eastAsiaTheme="minorHAnsi"/>
          <w:szCs w:val="28"/>
        </w:rPr>
        <w:t xml:space="preserve">Для стимулирования муниципальных образований к повышению качества организации и осуществления </w:t>
      </w:r>
      <w:r w:rsidRPr="00B91DC4">
        <w:rPr>
          <w:rFonts w:eastAsiaTheme="minorHAnsi"/>
          <w:szCs w:val="28"/>
        </w:rPr>
        <w:t>бюджетного процесса проведена оценка их деятельности в данном направлении. По итогам за 2013 год, подведенным в 2014 году, 4 муниципальных образования (ЗАТО Александровск, г. Кировск, г.</w:t>
      </w:r>
      <w:r w:rsidR="00F74876" w:rsidRPr="00B91DC4">
        <w:rPr>
          <w:rFonts w:eastAsiaTheme="minorHAnsi"/>
          <w:szCs w:val="28"/>
        </w:rPr>
        <w:t> </w:t>
      </w:r>
      <w:r w:rsidRPr="00B91DC4">
        <w:rPr>
          <w:rFonts w:eastAsiaTheme="minorHAnsi"/>
          <w:szCs w:val="28"/>
        </w:rPr>
        <w:t xml:space="preserve">Мурманск, Кольский район) имеют </w:t>
      </w:r>
      <w:r w:rsidRPr="00B91DC4">
        <w:rPr>
          <w:rFonts w:eastAsiaTheme="minorHAnsi"/>
          <w:szCs w:val="28"/>
          <w:lang w:val="en-US"/>
        </w:rPr>
        <w:t>I</w:t>
      </w:r>
      <w:r w:rsidRPr="00B91DC4">
        <w:rPr>
          <w:rFonts w:eastAsiaTheme="minorHAnsi"/>
          <w:szCs w:val="28"/>
        </w:rPr>
        <w:t xml:space="preserve"> степень качества (надлежащее качество организации и осуществления бюджетного процесса), в то время как </w:t>
      </w:r>
      <w:r w:rsidR="00835829">
        <w:rPr>
          <w:rFonts w:eastAsiaTheme="minorHAnsi"/>
          <w:szCs w:val="28"/>
        </w:rPr>
        <w:t>по результатам оценки за</w:t>
      </w:r>
      <w:r w:rsidRPr="00B91DC4">
        <w:rPr>
          <w:rFonts w:eastAsiaTheme="minorHAnsi"/>
          <w:szCs w:val="28"/>
        </w:rPr>
        <w:t xml:space="preserve"> 201</w:t>
      </w:r>
      <w:r w:rsidR="00835829">
        <w:rPr>
          <w:rFonts w:eastAsiaTheme="minorHAnsi"/>
          <w:szCs w:val="28"/>
        </w:rPr>
        <w:t xml:space="preserve">2 </w:t>
      </w:r>
      <w:r w:rsidRPr="00B91DC4">
        <w:rPr>
          <w:rFonts w:eastAsiaTheme="minorHAnsi"/>
          <w:szCs w:val="28"/>
        </w:rPr>
        <w:t>год</w:t>
      </w:r>
      <w:r w:rsidR="00835829">
        <w:rPr>
          <w:rFonts w:eastAsiaTheme="minorHAnsi"/>
          <w:szCs w:val="28"/>
        </w:rPr>
        <w:t>, проведенной в 2013 году,</w:t>
      </w:r>
      <w:r w:rsidRPr="00B91DC4">
        <w:rPr>
          <w:rFonts w:eastAsiaTheme="minorHAnsi"/>
          <w:szCs w:val="28"/>
        </w:rPr>
        <w:t xml:space="preserve"> таких муниципальных образования было всего два. На конкурсной основе между 10 муниципальными образованиями распределены субсидии на реализацию муниципальных программ повышения эффективности бюджетных расходов в размере 50 млн. рублей. </w:t>
      </w:r>
    </w:p>
    <w:p w:rsidR="00CB5039" w:rsidRPr="00BE108E" w:rsidRDefault="00CB5039" w:rsidP="00CB5039">
      <w:pPr>
        <w:autoSpaceDE w:val="0"/>
        <w:autoSpaceDN w:val="0"/>
        <w:adjustRightInd w:val="0"/>
        <w:rPr>
          <w:rFonts w:eastAsiaTheme="minorHAnsi"/>
          <w:szCs w:val="28"/>
        </w:rPr>
      </w:pPr>
      <w:r w:rsidRPr="00B91DC4">
        <w:rPr>
          <w:rFonts w:eastAsiaTheme="minorHAnsi"/>
          <w:szCs w:val="28"/>
        </w:rPr>
        <w:t xml:space="preserve">Всего на 2014 год по государственной программе предусмотрено 40 показателей, характеризующих достижение целей и решение задач, по </w:t>
      </w:r>
      <w:r w:rsidR="008E4898" w:rsidRPr="00B91DC4">
        <w:rPr>
          <w:rFonts w:eastAsiaTheme="minorHAnsi"/>
          <w:szCs w:val="28"/>
        </w:rPr>
        <w:t>3</w:t>
      </w:r>
      <w:r w:rsidRPr="00B91DC4">
        <w:rPr>
          <w:rFonts w:eastAsiaTheme="minorHAnsi"/>
          <w:szCs w:val="28"/>
        </w:rPr>
        <w:t xml:space="preserve"> из них </w:t>
      </w:r>
      <w:r w:rsidR="008E4898" w:rsidRPr="00B91DC4">
        <w:rPr>
          <w:rFonts w:eastAsiaTheme="minorHAnsi"/>
          <w:szCs w:val="28"/>
        </w:rPr>
        <w:t>сложилась низкая степень достижения, по</w:t>
      </w:r>
      <w:r w:rsidR="008E4898" w:rsidRPr="00BE108E">
        <w:rPr>
          <w:rFonts w:eastAsiaTheme="minorHAnsi"/>
          <w:szCs w:val="28"/>
        </w:rPr>
        <w:t xml:space="preserve"> 3 – средняя, по 30 – высокая</w:t>
      </w:r>
      <w:r w:rsidRPr="00BE108E">
        <w:rPr>
          <w:rFonts w:eastAsiaTheme="minorHAnsi"/>
          <w:szCs w:val="28"/>
        </w:rPr>
        <w:t>, существенно перевыполнены 4 показателя, что может быть связано с некорректным планированием. Средн</w:t>
      </w:r>
      <w:r w:rsidR="00F74876" w:rsidRPr="00BE108E">
        <w:rPr>
          <w:rFonts w:eastAsiaTheme="minorHAnsi"/>
          <w:szCs w:val="28"/>
        </w:rPr>
        <w:t>яя</w:t>
      </w:r>
      <w:r w:rsidRPr="00BE108E">
        <w:rPr>
          <w:rFonts w:eastAsiaTheme="minorHAnsi"/>
          <w:szCs w:val="28"/>
        </w:rPr>
        <w:t xml:space="preserve"> </w:t>
      </w:r>
      <w:r w:rsidR="00F74876" w:rsidRPr="00BE108E">
        <w:rPr>
          <w:rFonts w:eastAsiaTheme="minorHAnsi"/>
          <w:szCs w:val="28"/>
        </w:rPr>
        <w:t>степень</w:t>
      </w:r>
      <w:r w:rsidRPr="00BE108E">
        <w:rPr>
          <w:rFonts w:eastAsiaTheme="minorHAnsi"/>
          <w:szCs w:val="28"/>
        </w:rPr>
        <w:t xml:space="preserve"> достижения показателей составил</w:t>
      </w:r>
      <w:r w:rsidR="00F74876" w:rsidRPr="00BE108E">
        <w:rPr>
          <w:rFonts w:eastAsiaTheme="minorHAnsi"/>
          <w:szCs w:val="28"/>
        </w:rPr>
        <w:t>а</w:t>
      </w:r>
      <w:r w:rsidRPr="00BE108E">
        <w:rPr>
          <w:rFonts w:eastAsiaTheme="minorHAnsi"/>
          <w:szCs w:val="28"/>
        </w:rPr>
        <w:t xml:space="preserve"> 106,4%.</w:t>
      </w:r>
    </w:p>
    <w:p w:rsidR="00CB5039" w:rsidRPr="00BE108E" w:rsidRDefault="00CB5039" w:rsidP="00CB5039">
      <w:pPr>
        <w:autoSpaceDE w:val="0"/>
        <w:autoSpaceDN w:val="0"/>
        <w:adjustRightInd w:val="0"/>
        <w:rPr>
          <w:rFonts w:eastAsiaTheme="minorHAnsi"/>
          <w:szCs w:val="28"/>
        </w:rPr>
      </w:pPr>
      <w:r w:rsidRPr="00BE108E">
        <w:rPr>
          <w:rFonts w:eastAsiaTheme="minorHAnsi"/>
          <w:szCs w:val="28"/>
        </w:rPr>
        <w:t>По итогам за 2014 год, учитывая уровень освоения бюджетных ассигнований (99,7%), степень достижения показателей результативности мероприятий плана реализации госпрограммы (115,1%) и превышение установленных пороговых значений показателей, определен высокий уровень эффективности реализации госпрограммы.</w:t>
      </w:r>
    </w:p>
    <w:p w:rsidR="00FF4E43" w:rsidRPr="00BE108E" w:rsidRDefault="00FF4E43" w:rsidP="00FF4E43">
      <w:pPr>
        <w:pStyle w:val="ConsPlusCell"/>
        <w:ind w:firstLine="709"/>
        <w:jc w:val="both"/>
        <w:rPr>
          <w:rStyle w:val="FontStyle14"/>
          <w:sz w:val="28"/>
          <w:szCs w:val="28"/>
        </w:rPr>
      </w:pPr>
    </w:p>
    <w:p w:rsidR="00B91DC4" w:rsidRDefault="00B91DC4">
      <w:pPr>
        <w:spacing w:after="200" w:line="276" w:lineRule="auto"/>
        <w:ind w:firstLine="0"/>
        <w:jc w:val="left"/>
        <w:rPr>
          <w:rFonts w:eastAsiaTheme="majorEastAsia" w:cstheme="majorBidi"/>
          <w:b/>
          <w:bCs/>
          <w:szCs w:val="28"/>
        </w:rPr>
      </w:pPr>
      <w:r>
        <w:br w:type="page"/>
      </w:r>
    </w:p>
    <w:p w:rsidR="0083380D" w:rsidRPr="00BE108E" w:rsidRDefault="0083380D" w:rsidP="0083380D">
      <w:pPr>
        <w:pStyle w:val="1"/>
      </w:pPr>
      <w:r w:rsidRPr="00BE108E">
        <w:lastRenderedPageBreak/>
        <w:t>Государственная программа 17 «Государственное управление и гражданское общество»</w:t>
      </w:r>
    </w:p>
    <w:p w:rsidR="000F218D" w:rsidRPr="00BE108E" w:rsidRDefault="000F218D" w:rsidP="000F218D">
      <w:pPr>
        <w:rPr>
          <w:rStyle w:val="FontStyle14"/>
          <w:sz w:val="28"/>
          <w:szCs w:val="28"/>
        </w:rPr>
      </w:pPr>
    </w:p>
    <w:p w:rsidR="0083380D" w:rsidRDefault="000F218D" w:rsidP="000F218D">
      <w:pPr>
        <w:ind w:firstLine="0"/>
        <w:rPr>
          <w:rStyle w:val="FontStyle14"/>
          <w:sz w:val="28"/>
          <w:szCs w:val="28"/>
        </w:rPr>
      </w:pPr>
      <w:r w:rsidRPr="00BE108E">
        <w:rPr>
          <w:noProof/>
        </w:rPr>
        <w:drawing>
          <wp:inline distT="0" distB="0" distL="0" distR="0">
            <wp:extent cx="2594345" cy="3327991"/>
            <wp:effectExtent l="0" t="0" r="15875" b="2540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Pr="00BE108E">
        <w:rPr>
          <w:rStyle w:val="FontStyle14"/>
          <w:sz w:val="28"/>
          <w:szCs w:val="28"/>
        </w:rPr>
        <w:t xml:space="preserve"> </w:t>
      </w:r>
      <w:r w:rsidRPr="00BE108E">
        <w:rPr>
          <w:noProof/>
        </w:rPr>
        <w:drawing>
          <wp:inline distT="0" distB="0" distL="0" distR="0">
            <wp:extent cx="3423684" cy="3327991"/>
            <wp:effectExtent l="0" t="0" r="24765" b="2540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C13F31" w:rsidRDefault="00C13F31" w:rsidP="00C13F31">
      <w:pPr>
        <w:ind w:firstLine="0"/>
        <w:jc w:val="center"/>
        <w:rPr>
          <w:sz w:val="24"/>
        </w:rPr>
      </w:pPr>
      <w:r w:rsidRPr="00C13F31">
        <w:rPr>
          <w:sz w:val="24"/>
        </w:rPr>
        <w:t xml:space="preserve">Рисунок </w:t>
      </w:r>
      <w:r w:rsidR="00B91DC4">
        <w:rPr>
          <w:sz w:val="24"/>
        </w:rPr>
        <w:t>21</w:t>
      </w:r>
    </w:p>
    <w:p w:rsidR="00AE272B" w:rsidRPr="00BE108E" w:rsidRDefault="00AE272B" w:rsidP="000F218D">
      <w:pPr>
        <w:ind w:firstLine="0"/>
        <w:rPr>
          <w:szCs w:val="28"/>
        </w:rPr>
      </w:pPr>
    </w:p>
    <w:p w:rsidR="0083380D" w:rsidRPr="00BE108E" w:rsidRDefault="0083380D" w:rsidP="0083380D">
      <w:r w:rsidRPr="00BE108E">
        <w:t>Общий объем финансовых средств, предусмотренных на реализацию программы в 2014 году, утвержден в размере 1 011,5 млн. рублей. Фактически израсходовано 1 013,6 млн. рублей (100,2%), в том числе за счет средств областного бюджета – 936,9 млн. рублей (99,3%), федерального бюджета – 52 млн. рублей (100%), внебюджетные средства привлечены в объеме 24,8 млн. рублей, что в полтора раза превышает запланированное значение.</w:t>
      </w:r>
    </w:p>
    <w:p w:rsidR="0083380D" w:rsidRPr="00BE108E" w:rsidRDefault="0083380D" w:rsidP="0083380D">
      <w:r w:rsidRPr="00BE108E">
        <w:rPr>
          <w:bCs/>
        </w:rPr>
        <w:t xml:space="preserve">Для </w:t>
      </w:r>
      <w:r w:rsidRPr="00BE108E">
        <w:rPr>
          <w:b/>
          <w:bCs/>
        </w:rPr>
        <w:t xml:space="preserve">обеспечения деятельности Губернатора, Правительства и иных органов государственной власти Мурманской области </w:t>
      </w:r>
      <w:r w:rsidRPr="00BE108E">
        <w:rPr>
          <w:bCs/>
        </w:rPr>
        <w:t>регулярно и своевременно осуществлялись мероприятия</w:t>
      </w:r>
      <w:r w:rsidRPr="00BE108E">
        <w:t xml:space="preserve"> материально-технического, организационного, информационно-аналитического характера.</w:t>
      </w:r>
    </w:p>
    <w:p w:rsidR="0083380D" w:rsidRPr="00BE108E" w:rsidRDefault="0083380D" w:rsidP="0083380D">
      <w:r w:rsidRPr="00BE108E">
        <w:rPr>
          <w:rFonts w:eastAsia="Times New Roman"/>
        </w:rPr>
        <w:t xml:space="preserve">В 2014 году было обеспечено проведение всех </w:t>
      </w:r>
      <w:r w:rsidRPr="00BE108E">
        <w:t>протокольных мероприятий с участием Губернатора Мурманской области в Мурманской области (285 ед.) и за ее пределами (49 ед.), оперативных совещаний под председательством высшего должностного лица региона (51 ед.), рабочих поездок Губернатора в муниципальные образования области (41 ед.).</w:t>
      </w:r>
      <w:r w:rsidR="002F7133">
        <w:t xml:space="preserve"> </w:t>
      </w:r>
      <w:r w:rsidRPr="00BE108E">
        <w:rPr>
          <w:rFonts w:eastAsia="Times New Roman"/>
        </w:rPr>
        <w:t xml:space="preserve">В сфере международного сотрудничества было организовано </w:t>
      </w:r>
      <w:r w:rsidRPr="00BE108E">
        <w:t>проведение 55 мероприятий международного характера, в том числе 24 протокольных встреч, приняты меры по повышению эффективности проектной работы в рамках Баренцева/</w:t>
      </w:r>
      <w:proofErr w:type="spellStart"/>
      <w:r w:rsidRPr="00BE108E">
        <w:t>Евроактического</w:t>
      </w:r>
      <w:proofErr w:type="spellEnd"/>
      <w:r w:rsidRPr="00BE108E">
        <w:t xml:space="preserve"> региона.</w:t>
      </w:r>
      <w:r w:rsidR="00FB5C0B">
        <w:t xml:space="preserve"> </w:t>
      </w:r>
      <w:r w:rsidR="002F7133">
        <w:t xml:space="preserve">Все </w:t>
      </w:r>
      <w:r w:rsidR="002F7133" w:rsidRPr="002F7133">
        <w:t>мероприяти</w:t>
      </w:r>
      <w:r w:rsidR="002F7133">
        <w:t xml:space="preserve">я </w:t>
      </w:r>
      <w:r w:rsidR="002F7133" w:rsidRPr="002F7133">
        <w:t>проведены без обоснованных замечаний по качеству подготовки</w:t>
      </w:r>
      <w:r w:rsidR="002F7133">
        <w:t>.</w:t>
      </w:r>
    </w:p>
    <w:p w:rsidR="0083380D" w:rsidRPr="00BE108E" w:rsidRDefault="0083380D" w:rsidP="0083380D">
      <w:r w:rsidRPr="00BE108E">
        <w:t xml:space="preserve">Ежемесячно, в соответствии с планом, проводились </w:t>
      </w:r>
      <w:r w:rsidRPr="00BE108E">
        <w:rPr>
          <w:rFonts w:eastAsia="Times New Roman"/>
        </w:rPr>
        <w:t xml:space="preserve">заседания Правительства Мурманской области, на которых было рассмотрено </w:t>
      </w:r>
      <w:r w:rsidRPr="00BE108E">
        <w:rPr>
          <w:rFonts w:eastAsia="Times New Roman"/>
          <w:szCs w:val="24"/>
        </w:rPr>
        <w:t xml:space="preserve">93 </w:t>
      </w:r>
      <w:r w:rsidRPr="00BE108E">
        <w:rPr>
          <w:rFonts w:eastAsia="Times New Roman"/>
        </w:rPr>
        <w:t>вопроса, принято 54 постановления.</w:t>
      </w:r>
    </w:p>
    <w:p w:rsidR="0083380D" w:rsidRPr="00BE108E" w:rsidRDefault="0083380D" w:rsidP="0083380D">
      <w:pPr>
        <w:rPr>
          <w:rFonts w:eastAsia="Times New Roman"/>
        </w:rPr>
      </w:pPr>
      <w:r w:rsidRPr="00BE108E">
        <w:rPr>
          <w:rFonts w:eastAsia="Times New Roman"/>
        </w:rPr>
        <w:lastRenderedPageBreak/>
        <w:t xml:space="preserve">Подготовлены к подписанию и зарегистрированы 1 458 нормативных правовых актов (далее – НПА) и правовых актов ненормативного характера, обеспечено официальное опубликование 903 НПА. </w:t>
      </w:r>
    </w:p>
    <w:p w:rsidR="0083380D" w:rsidRPr="00BE108E" w:rsidRDefault="0083380D" w:rsidP="0083380D">
      <w:pPr>
        <w:rPr>
          <w:rFonts w:eastAsia="Times New Roman"/>
        </w:rPr>
      </w:pPr>
      <w:r w:rsidRPr="00BE108E">
        <w:t>Осуществлялся упреждающий, текущий и последующий контроль сроков исполнения поручений и указаний Президента и Правительства РФ, Губернатора и Правительства Мурманской области, общее количество контролируемых поручений в 2014 году составило 4308 ед</w:t>
      </w:r>
      <w:r w:rsidRPr="00BE108E">
        <w:rPr>
          <w:rFonts w:eastAsia="Times New Roman"/>
          <w:color w:val="000000"/>
        </w:rPr>
        <w:t xml:space="preserve">., подготовлены </w:t>
      </w:r>
      <w:r w:rsidRPr="00BE108E">
        <w:rPr>
          <w:rFonts w:eastAsia="Times New Roman"/>
          <w:szCs w:val="24"/>
        </w:rPr>
        <w:t xml:space="preserve">еженедельные информационные материалы о состоянии исполнительской дисциплины в ИОГВ (51 документ). </w:t>
      </w:r>
      <w:r w:rsidRPr="00BE108E">
        <w:t xml:space="preserve">В результате осуществленных мероприятий доля исполненных в срок документов, находящихся на контроле, составила 90,1% (план </w:t>
      </w:r>
      <w:r w:rsidR="00895DAB" w:rsidRPr="00BE108E">
        <w:t>–</w:t>
      </w:r>
      <w:r w:rsidRPr="00BE108E">
        <w:t xml:space="preserve"> 90%), что выше аналогичного показателя за 2013 год (88,4%). </w:t>
      </w:r>
    </w:p>
    <w:p w:rsidR="0083380D" w:rsidRPr="00BE108E" w:rsidRDefault="0083380D" w:rsidP="0083380D">
      <w:pPr>
        <w:rPr>
          <w:rFonts w:eastAsia="Times New Roman"/>
          <w:szCs w:val="24"/>
        </w:rPr>
      </w:pPr>
      <w:r w:rsidRPr="00BE108E">
        <w:rPr>
          <w:rFonts w:eastAsia="Times New Roman"/>
          <w:szCs w:val="24"/>
        </w:rPr>
        <w:t>Обеспечены сбор, обобщение и представление на федеральный уровень, в прокуратуру Мурманской области и УМВД России по Мурманской области типовой отчетности и информационных материалов о реализации приоритетных национальных проектов и мероприятий по улучшению демографической ситуации (92 ед.).</w:t>
      </w:r>
    </w:p>
    <w:p w:rsidR="0083380D" w:rsidRPr="00BE108E" w:rsidRDefault="0083380D" w:rsidP="0083380D">
      <w:pPr>
        <w:rPr>
          <w:rFonts w:eastAsia="Times New Roman"/>
        </w:rPr>
      </w:pPr>
      <w:r w:rsidRPr="00BE108E">
        <w:rPr>
          <w:rFonts w:eastAsia="Times New Roman"/>
        </w:rPr>
        <w:t xml:space="preserve">Обеспечен прием и регистрация поступившей служебной корреспонденции, писем граждан и иных документов, требующих решения Губернатора Мурманской области и его заместителей, подготовка проектов резолюций к ним. Документооборот Правительства в 2014 году превысил 21 тыс. документов. </w:t>
      </w:r>
    </w:p>
    <w:p w:rsidR="0083380D" w:rsidRPr="00BE108E" w:rsidRDefault="0083380D" w:rsidP="0083380D">
      <w:pPr>
        <w:rPr>
          <w:rFonts w:eastAsia="Times New Roman"/>
          <w:bCs/>
          <w:szCs w:val="24"/>
        </w:rPr>
      </w:pPr>
      <w:r w:rsidRPr="00BE108E">
        <w:rPr>
          <w:rFonts w:eastAsia="Times New Roman"/>
          <w:bCs/>
          <w:szCs w:val="24"/>
        </w:rPr>
        <w:t>Эффективно функционирует система рассмотрения обращений граждан, позволяющая своевременно осуществлять учет, анализ и рассмотрение обращений. Всего в 2014</w:t>
      </w:r>
      <w:r w:rsidRPr="00BE108E">
        <w:rPr>
          <w:rFonts w:eastAsia="Times New Roman"/>
          <w:iCs/>
          <w:color w:val="000000"/>
        </w:rPr>
        <w:t xml:space="preserve"> году поступил</w:t>
      </w:r>
      <w:r w:rsidRPr="00BE108E">
        <w:rPr>
          <w:rFonts w:eastAsia="Times New Roman"/>
          <w:szCs w:val="24"/>
        </w:rPr>
        <w:t xml:space="preserve">о 8584 </w:t>
      </w:r>
      <w:r w:rsidRPr="00BE108E">
        <w:rPr>
          <w:rFonts w:eastAsia="Times New Roman"/>
          <w:bCs/>
          <w:szCs w:val="24"/>
        </w:rPr>
        <w:t xml:space="preserve">письменных и 239 устных обращений граждан. Все они своевременно рассмотрены, авторам обращений направлены квалифицированные ответы, даны необходимые разъяснения, приняты меры по решению вопросов, поднятых в обращениях. </w:t>
      </w:r>
    </w:p>
    <w:p w:rsidR="0083380D" w:rsidRPr="00BE108E" w:rsidRDefault="0083380D" w:rsidP="0083380D">
      <w:pPr>
        <w:rPr>
          <w:rFonts w:eastAsia="Times New Roman"/>
          <w:szCs w:val="40"/>
        </w:rPr>
      </w:pPr>
      <w:r w:rsidRPr="00BE108E">
        <w:rPr>
          <w:rFonts w:eastAsia="Times New Roman"/>
          <w:color w:val="000000"/>
        </w:rPr>
        <w:t xml:space="preserve">Губернатором </w:t>
      </w:r>
      <w:r w:rsidRPr="00BE108E">
        <w:rPr>
          <w:rFonts w:eastAsia="Times New Roman"/>
        </w:rPr>
        <w:t xml:space="preserve">Мурманской области </w:t>
      </w:r>
      <w:r w:rsidRPr="00BE108E">
        <w:rPr>
          <w:rFonts w:eastAsia="Times New Roman"/>
          <w:color w:val="000000"/>
        </w:rPr>
        <w:t>и его заместителями, руководителями ИОГВ осуществлялся и личный прием граждан. Всего было о</w:t>
      </w:r>
      <w:r w:rsidRPr="00BE108E">
        <w:rPr>
          <w:rFonts w:eastAsia="Times New Roman"/>
          <w:iCs/>
          <w:color w:val="000000"/>
        </w:rPr>
        <w:t xml:space="preserve">рганизовано </w:t>
      </w:r>
      <w:r w:rsidRPr="00BE108E">
        <w:rPr>
          <w:rFonts w:eastAsia="Times New Roman"/>
          <w:szCs w:val="24"/>
        </w:rPr>
        <w:t>198 таких приемов, в ходе которых принято 490 человек,</w:t>
      </w:r>
      <w:r w:rsidRPr="00BE108E">
        <w:rPr>
          <w:rFonts w:eastAsia="Times New Roman"/>
          <w:color w:val="000000"/>
        </w:rPr>
        <w:t xml:space="preserve"> </w:t>
      </w:r>
      <w:r w:rsidRPr="00BE108E">
        <w:rPr>
          <w:rFonts w:eastAsia="Times New Roman"/>
          <w:iCs/>
          <w:color w:val="000000"/>
        </w:rPr>
        <w:t xml:space="preserve">обеспечен контроль за полным рассмотрением обращений граждан в установленные сроки. </w:t>
      </w:r>
    </w:p>
    <w:p w:rsidR="0083380D" w:rsidRPr="00BE108E" w:rsidRDefault="0083380D" w:rsidP="0083380D">
      <w:pPr>
        <w:rPr>
          <w:rFonts w:eastAsia="Times New Roman"/>
        </w:rPr>
      </w:pPr>
      <w:r w:rsidRPr="00BE108E">
        <w:t xml:space="preserve">Обеспечивалась реализация Губернатором его полномочий в области государственных наград Российской Федерации и наград Мурманской области. </w:t>
      </w:r>
      <w:r w:rsidRPr="00BE108E">
        <w:rPr>
          <w:rFonts w:eastAsia="Times New Roman"/>
        </w:rPr>
        <w:t>За 2014 год рассмотрено 1257 материалов к награждению, было награждено 40 жителей Мурманской области.</w:t>
      </w:r>
    </w:p>
    <w:p w:rsidR="0083380D" w:rsidRPr="00BE108E" w:rsidRDefault="0083380D" w:rsidP="0083380D">
      <w:pPr>
        <w:rPr>
          <w:rFonts w:eastAsia="Times New Roman"/>
          <w:strike/>
        </w:rPr>
      </w:pPr>
      <w:r w:rsidRPr="00BE108E">
        <w:rPr>
          <w:rFonts w:eastAsia="Times New Roman"/>
        </w:rPr>
        <w:t>Государственные задания областных бюджетных учреждений, осуществляющих транспортное и техническое (услуги секретарей и делопроизводителей) обслуживание деятельности Правительства и ИОГВ выполнен</w:t>
      </w:r>
      <w:r w:rsidR="002F7133">
        <w:rPr>
          <w:rFonts w:eastAsia="Times New Roman"/>
        </w:rPr>
        <w:t>ы</w:t>
      </w:r>
      <w:r w:rsidRPr="00BE108E">
        <w:rPr>
          <w:rFonts w:eastAsia="Times New Roman"/>
        </w:rPr>
        <w:t xml:space="preserve"> в полном объеме. </w:t>
      </w:r>
    </w:p>
    <w:p w:rsidR="0083380D" w:rsidRPr="00BE108E" w:rsidRDefault="0083380D" w:rsidP="0083380D">
      <w:r w:rsidRPr="00BE108E">
        <w:t>Для обеспечения</w:t>
      </w:r>
      <w:r w:rsidRPr="00BE108E">
        <w:rPr>
          <w:b/>
        </w:rPr>
        <w:t xml:space="preserve"> реализации государственной политики в сфере юстиции </w:t>
      </w:r>
      <w:r w:rsidRPr="00BE108E">
        <w:t xml:space="preserve">разработано 17 законопроектов и обеспечено правовое сопровождение 55 законопроектов, разработанных иными ИОГВ, 116 региональных законов зарегистрировано и направлено для официального </w:t>
      </w:r>
      <w:r w:rsidRPr="00BE108E">
        <w:lastRenderedPageBreak/>
        <w:t>опубликования, подготовлено 31 официальное заключение Губернатора области на законопроекты депутатов и других субъектов права законодательной инициативы.</w:t>
      </w:r>
    </w:p>
    <w:p w:rsidR="0083380D" w:rsidRPr="00BE108E" w:rsidRDefault="0083380D" w:rsidP="0083380D">
      <w:pPr>
        <w:rPr>
          <w:rFonts w:eastAsia="Times New Roman"/>
        </w:rPr>
      </w:pPr>
      <w:r w:rsidRPr="00BE108E">
        <w:rPr>
          <w:color w:val="000000"/>
        </w:rPr>
        <w:t>За 2014 год проведено 1556 экспертиз всех проектов постановлений и распоряжений Губернатора и Правительства, а также проектов заключаемых Правительством соглашений и договоров. Н</w:t>
      </w:r>
      <w:r w:rsidRPr="00BE108E">
        <w:rPr>
          <w:rFonts w:eastAsia="Times New Roman"/>
        </w:rPr>
        <w:t>и один из подзаконных нормативных правовых актов Мурманской области в прошедшем году не был в судебном порядке признан противоречащим законодательству, однако доля опротестованных органами прокуратуры нормативных правовых актов Губернатора и Правительства Мурманской области от общего числа принятых нормативных правовых актов превысил</w:t>
      </w:r>
      <w:r w:rsidR="00B91DC4">
        <w:rPr>
          <w:rFonts w:eastAsia="Times New Roman"/>
        </w:rPr>
        <w:t>а</w:t>
      </w:r>
      <w:r w:rsidRPr="00BE108E">
        <w:rPr>
          <w:rFonts w:eastAsia="Times New Roman"/>
        </w:rPr>
        <w:t xml:space="preserve"> ожидаемое значение показателя на 0,1 п.п. и составила 1,4%. </w:t>
      </w:r>
    </w:p>
    <w:p w:rsidR="0083380D" w:rsidRPr="00BE108E" w:rsidRDefault="0083380D" w:rsidP="0083380D">
      <w:r w:rsidRPr="00BE108E">
        <w:t xml:space="preserve">Осуществлен мониторинг законодательства Мурманской области по пятнадцати направлениям, подготовлены и направлены </w:t>
      </w:r>
      <w:r w:rsidR="00895DAB" w:rsidRPr="00BE108E">
        <w:t>в ИОГВ</w:t>
      </w:r>
      <w:r w:rsidRPr="00BE108E">
        <w:t xml:space="preserve"> предложения по приведению правовых актов в соответствие с законодательством и совершенствованию правоприменительной практики.</w:t>
      </w:r>
    </w:p>
    <w:p w:rsidR="0083380D" w:rsidRPr="00BE108E" w:rsidRDefault="0083380D" w:rsidP="0083380D">
      <w:pPr>
        <w:rPr>
          <w:kern w:val="28"/>
        </w:rPr>
      </w:pPr>
      <w:r w:rsidRPr="00BE108E">
        <w:t xml:space="preserve">Продолжилось ведение регистра муниципальных нормативных правовых актов Мурманской области. В 2014 году в регистр включено около 5 тыс. актов, в 27,9% муниципальных нормативных правовых актах, в отношении которых проведена правовая экспертиза, выявлены противоречия законодательству. </w:t>
      </w:r>
    </w:p>
    <w:p w:rsidR="0083380D" w:rsidRPr="00BE108E" w:rsidRDefault="0083380D" w:rsidP="0083380D">
      <w:pPr>
        <w:rPr>
          <w:bCs/>
          <w:iCs/>
        </w:rPr>
      </w:pPr>
      <w:r w:rsidRPr="00BE108E">
        <w:rPr>
          <w:b/>
        </w:rPr>
        <w:t xml:space="preserve">Содействие в обеспечении прав и законных интересов личности и государства </w:t>
      </w:r>
      <w:r w:rsidRPr="00BE108E">
        <w:t xml:space="preserve">осуществляется в том числе посредством развития государственной системы </w:t>
      </w:r>
      <w:r w:rsidRPr="00BE108E">
        <w:rPr>
          <w:bCs/>
          <w:iCs/>
        </w:rPr>
        <w:t xml:space="preserve">бесплатной юридической помощи, обеспечения оказания юридической помощи гражданам в труднодоступных и малонаселенных местностях Мурманской области. </w:t>
      </w:r>
    </w:p>
    <w:p w:rsidR="0083380D" w:rsidRPr="00BE108E" w:rsidRDefault="0083380D" w:rsidP="0083380D">
      <w:r w:rsidRPr="00BE108E">
        <w:rPr>
          <w:bCs/>
          <w:iCs/>
        </w:rPr>
        <w:t xml:space="preserve">В рамках </w:t>
      </w:r>
      <w:r w:rsidRPr="00BE108E">
        <w:t>соглашения между Адвокатской палатой Мурманской области и Министерством юстиции Мурманской области бесплатную юридическую помощь на территории региона в 2014 году оказывали 49 адвокатов, бесплатной юридической помощью обеспечены все обратившиеся и имеющие право на е</w:t>
      </w:r>
      <w:r w:rsidR="00FB5C0B">
        <w:t>е</w:t>
      </w:r>
      <w:r w:rsidRPr="00BE108E">
        <w:t xml:space="preserve"> получение граждане.</w:t>
      </w:r>
    </w:p>
    <w:p w:rsidR="0083380D" w:rsidRPr="00BE108E" w:rsidRDefault="0083380D" w:rsidP="0083380D">
      <w:r w:rsidRPr="00BE108E">
        <w:t xml:space="preserve">Бюджетам муниципальных образований предоставлена субвенция на государственную регистрацию актов гражданского состояния, осуществлен контроль за исполнением ими переданных полномочий </w:t>
      </w:r>
      <w:r w:rsidR="00895DAB" w:rsidRPr="00BE108E">
        <w:t>в</w:t>
      </w:r>
      <w:r w:rsidRPr="00BE108E">
        <w:t xml:space="preserve"> указанной сфере. Органами ЗАГС проставлено 340 </w:t>
      </w:r>
      <w:proofErr w:type="spellStart"/>
      <w:r w:rsidRPr="00BE108E">
        <w:t>апостилей</w:t>
      </w:r>
      <w:proofErr w:type="spellEnd"/>
      <w:r w:rsidRPr="00BE108E">
        <w:rPr>
          <w:b/>
        </w:rPr>
        <w:t>,</w:t>
      </w:r>
      <w:r w:rsidRPr="00BE108E">
        <w:t xml:space="preserve"> выдана 321 копия записей актов гражданского состояния и повторных свидетельств, 414 иных документов,</w:t>
      </w:r>
      <w:r w:rsidRPr="00BE108E">
        <w:rPr>
          <w:b/>
        </w:rPr>
        <w:t xml:space="preserve"> </w:t>
      </w:r>
      <w:r w:rsidRPr="00BE108E">
        <w:t>продолжена работа по внедрению единой автоматизированной информационной системы ЗАГС Мурманской области.</w:t>
      </w:r>
    </w:p>
    <w:p w:rsidR="0083380D" w:rsidRPr="00BE108E" w:rsidRDefault="0083380D" w:rsidP="0083380D">
      <w:pPr>
        <w:rPr>
          <w:rFonts w:eastAsia="Times New Roman"/>
          <w:kern w:val="28"/>
        </w:rPr>
      </w:pPr>
      <w:r w:rsidRPr="00BE108E">
        <w:rPr>
          <w:rFonts w:eastAsia="Times New Roman"/>
          <w:kern w:val="28"/>
        </w:rPr>
        <w:t xml:space="preserve">Во всех муниципальных районах и городских округах сформированы административные комиссии (всего – 19 комиссий), осуществляется </w:t>
      </w:r>
      <w:r w:rsidRPr="00BE108E">
        <w:rPr>
          <w:kern w:val="28"/>
        </w:rPr>
        <w:t xml:space="preserve">организационное, методическое и финансовое обеспечения их деятельности. </w:t>
      </w:r>
      <w:r w:rsidRPr="00BE108E">
        <w:rPr>
          <w:rFonts w:eastAsia="Times New Roman"/>
          <w:kern w:val="28"/>
        </w:rPr>
        <w:t>В 2014 году административными комиссиями рассмотрено 11</w:t>
      </w:r>
      <w:r w:rsidR="00895DAB" w:rsidRPr="00BE108E">
        <w:rPr>
          <w:rFonts w:eastAsia="Times New Roman"/>
          <w:kern w:val="28"/>
        </w:rPr>
        <w:t> </w:t>
      </w:r>
      <w:r w:rsidRPr="00BE108E">
        <w:rPr>
          <w:rFonts w:eastAsia="Times New Roman"/>
          <w:kern w:val="28"/>
        </w:rPr>
        <w:t>469 дел об административных правонарушениях, с нарушителей взыскано штрафов на общую сумму свыше 7 млн. рублей.</w:t>
      </w:r>
    </w:p>
    <w:p w:rsidR="0083380D" w:rsidRPr="00BE108E" w:rsidRDefault="0083380D" w:rsidP="0083380D">
      <w:r w:rsidRPr="00BE108E">
        <w:t>В целях</w:t>
      </w:r>
      <w:r w:rsidRPr="00BE108E">
        <w:rPr>
          <w:b/>
        </w:rPr>
        <w:t xml:space="preserve"> развития государственной гражданской службы Мурманской области</w:t>
      </w:r>
      <w:r w:rsidRPr="00BE108E">
        <w:rPr>
          <w:rFonts w:eastAsia="Times New Roman"/>
        </w:rPr>
        <w:t xml:space="preserve"> разработаны методические рекомендации по установлению </w:t>
      </w:r>
      <w:r w:rsidRPr="00BE108E">
        <w:rPr>
          <w:rFonts w:eastAsia="Times New Roman"/>
        </w:rPr>
        <w:lastRenderedPageBreak/>
        <w:t xml:space="preserve">квалификационных требований к должностям государственной гражданской службы Мурманской области, </w:t>
      </w:r>
      <w:r w:rsidRPr="00BE108E">
        <w:t xml:space="preserve">положение о наставничестве в ИОГВ, ведется единая база вакансий </w:t>
      </w:r>
      <w:r w:rsidRPr="00BE108E">
        <w:rPr>
          <w:bCs/>
        </w:rPr>
        <w:t xml:space="preserve">должностей, </w:t>
      </w:r>
      <w:r w:rsidRPr="00BE108E">
        <w:t xml:space="preserve">актуальная информация о которых размещается на сайте Правительства. </w:t>
      </w:r>
    </w:p>
    <w:p w:rsidR="0083380D" w:rsidRPr="00BE108E" w:rsidRDefault="0083380D" w:rsidP="0083380D">
      <w:pPr>
        <w:rPr>
          <w:rFonts w:eastAsia="Times New Roman"/>
        </w:rPr>
      </w:pPr>
      <w:r w:rsidRPr="00BE108E">
        <w:rPr>
          <w:rFonts w:eastAsia="Times New Roman"/>
        </w:rPr>
        <w:t>Впервые проведен региональный конкурс «Народный чиновник Мурманской области – 2014», направлен</w:t>
      </w:r>
      <w:r w:rsidR="002F7133">
        <w:rPr>
          <w:rFonts w:eastAsia="Times New Roman"/>
        </w:rPr>
        <w:t>н</w:t>
      </w:r>
      <w:r w:rsidR="00895DAB" w:rsidRPr="00BE108E">
        <w:rPr>
          <w:rFonts w:eastAsia="Times New Roman"/>
        </w:rPr>
        <w:t>ый</w:t>
      </w:r>
      <w:r w:rsidRPr="00BE108E">
        <w:rPr>
          <w:rFonts w:eastAsia="Times New Roman"/>
        </w:rPr>
        <w:t xml:space="preserve"> на раскрытие творческого потенциала государственных гражданских и муниципальных служащих, преодоление у населения </w:t>
      </w:r>
      <w:r w:rsidR="002F7133">
        <w:rPr>
          <w:rFonts w:eastAsia="Times New Roman"/>
        </w:rPr>
        <w:t xml:space="preserve">негативного </w:t>
      </w:r>
      <w:r w:rsidRPr="00BE108E">
        <w:rPr>
          <w:rFonts w:eastAsia="Times New Roman"/>
        </w:rPr>
        <w:t>стереотипа образа современного чиновника.</w:t>
      </w:r>
    </w:p>
    <w:p w:rsidR="0083380D" w:rsidRPr="00BE108E" w:rsidRDefault="0083380D" w:rsidP="0083380D">
      <w:pPr>
        <w:rPr>
          <w:rFonts w:eastAsia="Times New Roman"/>
        </w:rPr>
      </w:pPr>
      <w:r w:rsidRPr="00BE108E">
        <w:rPr>
          <w:rFonts w:eastAsia="Times New Roman"/>
        </w:rPr>
        <w:t xml:space="preserve">В рамках проводимой работы по обеспечению непрерывного профессионального развития государственных гражданских служащих на курсах повышения квалификации было обучено 234 государственных гражданских служащих ИОГВ (план – 234) по 16 программам курсов повышения квалификации (план – 9). </w:t>
      </w:r>
    </w:p>
    <w:p w:rsidR="0083380D" w:rsidRPr="00BE108E" w:rsidRDefault="0083380D" w:rsidP="0083380D">
      <w:pPr>
        <w:rPr>
          <w:szCs w:val="20"/>
        </w:rPr>
      </w:pPr>
      <w:r w:rsidRPr="00BE108E">
        <w:rPr>
          <w:szCs w:val="20"/>
        </w:rPr>
        <w:t xml:space="preserve">В рамках </w:t>
      </w:r>
      <w:r w:rsidRPr="00BE108E">
        <w:rPr>
          <w:b/>
          <w:szCs w:val="20"/>
        </w:rPr>
        <w:t>создания условий для развития местного самоуправления</w:t>
      </w:r>
      <w:r w:rsidRPr="00BE108E">
        <w:rPr>
          <w:szCs w:val="20"/>
        </w:rPr>
        <w:t xml:space="preserve"> проведено 4 обучающих семинара по актуальным проблемам, возникающим при решении вопросов местного значения и реализации переданных отдельных полномочий, организованы и проведены курсы повышения квалификации для 200 муниципальных служащих, подготовлено 202 информационно-аналитических документа по вопросам организации местного самоуправления на территории региона. </w:t>
      </w:r>
    </w:p>
    <w:p w:rsidR="0083380D" w:rsidRPr="00CE21B7" w:rsidRDefault="0083380D" w:rsidP="0083380D">
      <w:pPr>
        <w:rPr>
          <w:szCs w:val="20"/>
        </w:rPr>
      </w:pPr>
      <w:r w:rsidRPr="00BE108E">
        <w:rPr>
          <w:szCs w:val="20"/>
        </w:rPr>
        <w:t xml:space="preserve">Оказывалась организационная, методическая и консультационная поддержка всем </w:t>
      </w:r>
      <w:r w:rsidRPr="00CE21B7">
        <w:rPr>
          <w:szCs w:val="20"/>
        </w:rPr>
        <w:t>муниципальным образованиям Мурманской области, актуализировались паспорта муниципальных образований</w:t>
      </w:r>
      <w:r w:rsidR="00CE21B7" w:rsidRPr="00CE21B7">
        <w:rPr>
          <w:szCs w:val="20"/>
        </w:rPr>
        <w:t>, п</w:t>
      </w:r>
      <w:r w:rsidRPr="00CE21B7">
        <w:rPr>
          <w:szCs w:val="20"/>
        </w:rPr>
        <w:t>ров</w:t>
      </w:r>
      <w:r w:rsidR="00CE21B7" w:rsidRPr="00CE21B7">
        <w:rPr>
          <w:szCs w:val="20"/>
        </w:rPr>
        <w:t>одились</w:t>
      </w:r>
      <w:r w:rsidRPr="00CE21B7">
        <w:rPr>
          <w:szCs w:val="20"/>
        </w:rPr>
        <w:t xml:space="preserve"> заседания Ассоциации «Совет муниципальных образований Мурманской области», организовано заседание межведомственной комиссии по совершенствованию территориальной организации местного самоуправления в Мурманской области.</w:t>
      </w:r>
      <w:r w:rsidRPr="00CE21B7">
        <w:rPr>
          <w:color w:val="000000"/>
          <w:szCs w:val="20"/>
        </w:rPr>
        <w:t xml:space="preserve"> </w:t>
      </w:r>
    </w:p>
    <w:p w:rsidR="0083380D" w:rsidRPr="00BE108E" w:rsidRDefault="0083380D" w:rsidP="0083380D">
      <w:pPr>
        <w:rPr>
          <w:szCs w:val="20"/>
        </w:rPr>
      </w:pPr>
      <w:r w:rsidRPr="00CE21B7">
        <w:rPr>
          <w:szCs w:val="20"/>
        </w:rPr>
        <w:t>В 2014 году проведено социологическое исследование с целью изучения общественного мнения по вопросам местного самоуправления, в ходе которого опрошено 5500 жителей региона</w:t>
      </w:r>
      <w:r w:rsidRPr="00BE108E">
        <w:rPr>
          <w:szCs w:val="20"/>
        </w:rPr>
        <w:t xml:space="preserve">, результаты исследования размещены на портале Правительства. </w:t>
      </w:r>
    </w:p>
    <w:p w:rsidR="0083380D" w:rsidRPr="00BE108E" w:rsidRDefault="0083380D" w:rsidP="0083380D">
      <w:r w:rsidRPr="00BE108E">
        <w:t xml:space="preserve">В сфере </w:t>
      </w:r>
      <w:r w:rsidRPr="00BE108E">
        <w:rPr>
          <w:b/>
        </w:rPr>
        <w:t>повышения эффективности мер по противодействию коррупции в органах государственной власти Мурманской области</w:t>
      </w:r>
      <w:r w:rsidRPr="00BE108E">
        <w:t xml:space="preserve"> в 2014 году разработан и реализовывался План основных мероприятий по противодействию коррупции в </w:t>
      </w:r>
      <w:r w:rsidR="00EA37C0">
        <w:t>регионе</w:t>
      </w:r>
      <w:r w:rsidRPr="00BE108E">
        <w:t xml:space="preserve">. </w:t>
      </w:r>
    </w:p>
    <w:p w:rsidR="0083380D" w:rsidRPr="00BE108E" w:rsidRDefault="0083380D" w:rsidP="0083380D">
      <w:r w:rsidRPr="00BE108E">
        <w:t xml:space="preserve">Все проекты НПА прошли антикоррупционную экспертизу (886 проектов), наиболее часто выявляемый </w:t>
      </w:r>
      <w:r w:rsidRPr="00BE108E">
        <w:rPr>
          <w:bCs/>
        </w:rPr>
        <w:t>коррупционный</w:t>
      </w:r>
      <w:r w:rsidRPr="00BE108E">
        <w:t xml:space="preserve"> фактор </w:t>
      </w:r>
      <w:r w:rsidR="00895DAB" w:rsidRPr="00BE108E">
        <w:t>–</w:t>
      </w:r>
      <w:r w:rsidRPr="00BE108E">
        <w:t xml:space="preserve"> широта дискреционных полномочий (</w:t>
      </w:r>
      <w:r w:rsidRPr="00BE108E">
        <w:rPr>
          <w:bCs/>
        </w:rPr>
        <w:t xml:space="preserve">37,5% </w:t>
      </w:r>
      <w:r w:rsidRPr="00BE108E">
        <w:t>случаев).</w:t>
      </w:r>
      <w:r w:rsidRPr="00BE108E">
        <w:rPr>
          <w:bCs/>
        </w:rPr>
        <w:t xml:space="preserve"> </w:t>
      </w:r>
    </w:p>
    <w:p w:rsidR="0083380D" w:rsidRPr="00BE108E" w:rsidRDefault="0083380D" w:rsidP="0083380D">
      <w:r w:rsidRPr="00BE108E">
        <w:t>Обеспечена консультативно-методическая и правовая поддержка органов государственной власти и местного самоуправления Мурманской области по вопросам противодействия коррупции.</w:t>
      </w:r>
    </w:p>
    <w:p w:rsidR="0083380D" w:rsidRPr="00BE108E" w:rsidRDefault="0083380D" w:rsidP="0083380D">
      <w:pPr>
        <w:rPr>
          <w:rFonts w:eastAsia="Calibri"/>
        </w:rPr>
      </w:pPr>
      <w:r w:rsidRPr="00BE108E">
        <w:rPr>
          <w:rFonts w:eastAsia="Calibri"/>
        </w:rPr>
        <w:t>Осуществлялась круглосуточная работа «телефона доверия» и специального адреса электронной почты для приема сообщений граждан о коррупции.</w:t>
      </w:r>
    </w:p>
    <w:p w:rsidR="0083380D" w:rsidRPr="00BE108E" w:rsidRDefault="0083380D" w:rsidP="0083380D">
      <w:r w:rsidRPr="00BE108E">
        <w:lastRenderedPageBreak/>
        <w:t>В декабре 2014 года проведено социологическое исследование состояния коррупции в Мурманской области, результаты которого позволяют говорить о динамике снижения рисков бытовой коррупции в Мурманской области. Так, риск коррупции по сравнению с 2013 годом снизился и состав</w:t>
      </w:r>
      <w:r w:rsidR="00895DAB" w:rsidRPr="00BE108E">
        <w:t>ил</w:t>
      </w:r>
      <w:r w:rsidRPr="00BE108E">
        <w:t xml:space="preserve"> 10,9% (11,3% в 2013 году).</w:t>
      </w:r>
    </w:p>
    <w:p w:rsidR="0083380D" w:rsidRPr="00BE108E" w:rsidRDefault="0083380D" w:rsidP="0083380D">
      <w:r w:rsidRPr="00BE108E">
        <w:t>В целях повышения</w:t>
      </w:r>
      <w:r w:rsidR="00895DAB" w:rsidRPr="00BE108E">
        <w:t xml:space="preserve"> правовой культуры населения и </w:t>
      </w:r>
      <w:r w:rsidRPr="00BE108E">
        <w:t xml:space="preserve">антикоррупционной пропаганды обеспечена постоянная информационная поддержка интернет-сайта «Противодействие коррупции в Мурманской области», проведена кампания социальной антикоррупционной рекламы на телевидении. </w:t>
      </w:r>
    </w:p>
    <w:p w:rsidR="0083380D" w:rsidRPr="00BE108E" w:rsidRDefault="0083380D" w:rsidP="0083380D">
      <w:r w:rsidRPr="00BE108E">
        <w:rPr>
          <w:rFonts w:eastAsia="Times New Roman" w:cs="Arial"/>
        </w:rPr>
        <w:t xml:space="preserve">В рамках </w:t>
      </w:r>
      <w:r w:rsidRPr="00BE108E">
        <w:rPr>
          <w:rFonts w:eastAsia="Times New Roman" w:cs="Arial"/>
          <w:b/>
        </w:rPr>
        <w:t xml:space="preserve">обеспечения рационального использования и распоряжения государственным имуществом Мурманской области </w:t>
      </w:r>
      <w:r w:rsidRPr="00BE108E">
        <w:rPr>
          <w:rFonts w:eastAsia="Times New Roman" w:cs="Arial"/>
        </w:rPr>
        <w:t>осуществлялось администрирование неналоговых платежей. У</w:t>
      </w:r>
      <w:r w:rsidRPr="00BE108E">
        <w:t xml:space="preserve">становленное бюджетное задание на 2014 год выполнено на 99,1%, фактически получено доходов на сумму 36,3 млн. рублей, из которых 35 млн. рублей </w:t>
      </w:r>
      <w:r w:rsidR="00895DAB" w:rsidRPr="00BE108E">
        <w:t>–</w:t>
      </w:r>
      <w:r w:rsidRPr="00BE108E">
        <w:t xml:space="preserve"> доходы от использования областного имущества. </w:t>
      </w:r>
    </w:p>
    <w:p w:rsidR="0083380D" w:rsidRPr="00BE108E" w:rsidRDefault="0083380D" w:rsidP="0083380D">
      <w:r w:rsidRPr="00BE108E">
        <w:t>Для обеспечения полноты и своевременности перечисления доходов от использования областного имущества в бюджет осуществлялся постоянный мониторинг, анализ и прогнози</w:t>
      </w:r>
      <w:r w:rsidR="00895DAB" w:rsidRPr="00BE108E">
        <w:t xml:space="preserve">рование поступлений средств от </w:t>
      </w:r>
      <w:r w:rsidRPr="00BE108E">
        <w:t xml:space="preserve">доходных источников, велась </w:t>
      </w:r>
      <w:proofErr w:type="spellStart"/>
      <w:r w:rsidRPr="00BE108E">
        <w:t>претензионно-исковая</w:t>
      </w:r>
      <w:proofErr w:type="spellEnd"/>
      <w:r w:rsidRPr="00BE108E">
        <w:t xml:space="preserve"> работа, в результате которой вынесено решений на общую сумму почти 3 млн. рублей</w:t>
      </w:r>
      <w:r w:rsidR="00143DC5" w:rsidRPr="00BE108E">
        <w:fldChar w:fldCharType="begin"/>
      </w:r>
      <w:r w:rsidRPr="00BE108E">
        <w:instrText xml:space="preserve"> =SUM(ABOVE) </w:instrText>
      </w:r>
      <w:r w:rsidR="00143DC5" w:rsidRPr="00BE108E">
        <w:fldChar w:fldCharType="end"/>
      </w:r>
      <w:r w:rsidRPr="00BE108E">
        <w:t>, оплачено претензий в досудебном порядке на сумму 0,7 млн. рублей.</w:t>
      </w:r>
    </w:p>
    <w:p w:rsidR="0083380D" w:rsidRPr="00BE108E" w:rsidRDefault="0083380D" w:rsidP="0083380D">
      <w:r w:rsidRPr="00BE108E">
        <w:t>Проводились мероприятия по формированию исчерпывающего состава государственного имущества для выполнения государственных полномочий Мурманской области. По результатам 2014 года доля объектов недвижимого имущества, закрепленных за государственными областными учреждениями и областными унитарными предприятиями, непосредственно задействованных при осуществлении уставной деятельности, достигла 99,6</w:t>
      </w:r>
      <w:r w:rsidR="00FB5C0B">
        <w:t>%</w:t>
      </w:r>
      <w:r w:rsidRPr="00BE108E">
        <w:t xml:space="preserve"> (2013 г</w:t>
      </w:r>
      <w:r w:rsidR="00EA37C0">
        <w:t>од</w:t>
      </w:r>
      <w:r w:rsidRPr="00BE108E">
        <w:t xml:space="preserve"> – 99,55%).</w:t>
      </w:r>
    </w:p>
    <w:p w:rsidR="0083380D" w:rsidRPr="00BE108E" w:rsidRDefault="0083380D" w:rsidP="0083380D">
      <w:pPr>
        <w:rPr>
          <w:rFonts w:eastAsia="Times New Roman" w:cs="Arial"/>
        </w:rPr>
      </w:pPr>
      <w:r w:rsidRPr="00BE108E">
        <w:rPr>
          <w:rFonts w:eastAsia="Times New Roman" w:cs="Arial"/>
        </w:rPr>
        <w:t>В отношении имущества, не участвующего в выполнении региональных полномочий, осуществлены мероприятия по вовлечению его в хозяйственный оборот. В результате за 2014 год вовлечено 90 объектов недвижимого имущества, доля объектов казны Мурманской области, вовлеченных в хозяйственный оборот, составила 47,7</w:t>
      </w:r>
      <w:r w:rsidR="00FB5C0B">
        <w:rPr>
          <w:rFonts w:eastAsia="Times New Roman" w:cs="Arial"/>
        </w:rPr>
        <w:t>%</w:t>
      </w:r>
      <w:r w:rsidRPr="00BE108E">
        <w:rPr>
          <w:rFonts w:eastAsia="Times New Roman" w:cs="Arial"/>
        </w:rPr>
        <w:t xml:space="preserve"> от объектов казны. </w:t>
      </w:r>
    </w:p>
    <w:p w:rsidR="0083380D" w:rsidRPr="00BE108E" w:rsidRDefault="0083380D" w:rsidP="0083380D">
      <w:r w:rsidRPr="00BE108E">
        <w:rPr>
          <w:rFonts w:eastAsia="Times New Roman" w:cs="Arial"/>
        </w:rPr>
        <w:t>Одновременно осуществлялся прием в областную собственность федерального и муниципального имущества, необходимого для исполнения региональных полномочий</w:t>
      </w:r>
      <w:r w:rsidRPr="00BE108E">
        <w:t>, общей стоимостью 1 462,</w:t>
      </w:r>
      <w:r w:rsidR="00DF5AED" w:rsidRPr="00BE108E">
        <w:t>8</w:t>
      </w:r>
      <w:r w:rsidRPr="00BE108E">
        <w:t xml:space="preserve"> млн. рублей</w:t>
      </w:r>
      <w:r w:rsidRPr="00BE108E">
        <w:rPr>
          <w:rFonts w:eastAsia="Times New Roman" w:cs="Arial"/>
        </w:rPr>
        <w:t>, о</w:t>
      </w:r>
      <w:r w:rsidRPr="00BE108E">
        <w:t xml:space="preserve">беспечивался процесс разграничения собственности на территории региона, осуществляемого в рамках разграничения полномочий, прием-передача объектов имущества (67 объектов, что составляет 159,5% от плана). </w:t>
      </w:r>
    </w:p>
    <w:p w:rsidR="0083380D" w:rsidRPr="00BE108E" w:rsidRDefault="0083380D" w:rsidP="0083380D">
      <w:r w:rsidRPr="00BE108E">
        <w:rPr>
          <w:iCs/>
        </w:rPr>
        <w:t>Организована реализация прогнозного плана (программы) п</w:t>
      </w:r>
      <w:r w:rsidRPr="00BE108E">
        <w:t>риватизаци</w:t>
      </w:r>
      <w:r w:rsidR="00EA37C0">
        <w:t>и</w:t>
      </w:r>
      <w:r w:rsidRPr="00BE108E">
        <w:t xml:space="preserve"> государственного имущества Мурманской области на 2014 год, проведены мероприятия по приватизации 7 объектов недвижимого имущества</w:t>
      </w:r>
      <w:r w:rsidR="00EA37C0">
        <w:t xml:space="preserve">, </w:t>
      </w:r>
      <w:r w:rsidRPr="00BE108E">
        <w:t>земельного участка, находящихся в казне Мурманской области, и финансовых средств областного бюджета.</w:t>
      </w:r>
    </w:p>
    <w:p w:rsidR="0083380D" w:rsidRPr="00BE108E" w:rsidRDefault="0083380D" w:rsidP="0083380D">
      <w:r w:rsidRPr="00BE108E">
        <w:lastRenderedPageBreak/>
        <w:t xml:space="preserve">В части земельных участков, находящихся в государственной собственности Мурманской области, в 2014 году в аренду предоставлены 23 земельных участка, 25 </w:t>
      </w:r>
      <w:r w:rsidR="00895DAB" w:rsidRPr="00BE108E">
        <w:t>–</w:t>
      </w:r>
      <w:r w:rsidRPr="00BE108E">
        <w:t xml:space="preserve"> в</w:t>
      </w:r>
      <w:r w:rsidR="00895DAB" w:rsidRPr="00BE108E">
        <w:t xml:space="preserve"> </w:t>
      </w:r>
      <w:r w:rsidRPr="00BE108E">
        <w:t xml:space="preserve">постоянное (бессрочное) пользование, в безвозмездное срочное пользование – 2 земельных участка. </w:t>
      </w:r>
    </w:p>
    <w:p w:rsidR="0083380D" w:rsidRPr="00BE108E" w:rsidRDefault="0083380D" w:rsidP="0083380D">
      <w:r w:rsidRPr="00BE108E">
        <w:rPr>
          <w:rFonts w:eastAsia="Times New Roman" w:cs="Calibri"/>
        </w:rPr>
        <w:t>Осуществлялся перевод находящихся в государственной собственности, государственной собственности Мурманской области земель из одной категории в другую, включение земельных</w:t>
      </w:r>
      <w:r w:rsidR="00FB5C0B">
        <w:rPr>
          <w:rFonts w:eastAsia="Times New Roman" w:cs="Calibri"/>
        </w:rPr>
        <w:t xml:space="preserve"> </w:t>
      </w:r>
      <w:r w:rsidRPr="00BE108E">
        <w:rPr>
          <w:rFonts w:eastAsia="Times New Roman" w:cs="Calibri"/>
        </w:rPr>
        <w:t>участков</w:t>
      </w:r>
      <w:r w:rsidR="00FB5C0B">
        <w:rPr>
          <w:rFonts w:eastAsia="Times New Roman" w:cs="Calibri"/>
        </w:rPr>
        <w:t xml:space="preserve"> </w:t>
      </w:r>
      <w:r w:rsidRPr="00BE108E">
        <w:rPr>
          <w:rFonts w:eastAsia="Times New Roman" w:cs="Calibri"/>
        </w:rPr>
        <w:t>в границы населенных пунктов (</w:t>
      </w:r>
      <w:r w:rsidRPr="00BE108E">
        <w:t>рассмотрены 88 ходатайств).</w:t>
      </w:r>
    </w:p>
    <w:p w:rsidR="00EA37C0" w:rsidRPr="00BE108E" w:rsidRDefault="00EA37C0" w:rsidP="00EA37C0">
      <w:r>
        <w:t>Н</w:t>
      </w:r>
      <w:r w:rsidRPr="00BE108E">
        <w:t xml:space="preserve">а портале Правительства размещается реестр имеющихся в наличии незанятых, неиспользуемых и высвобождаемых объектов недвижимого имущества Мурманской области. </w:t>
      </w:r>
    </w:p>
    <w:p w:rsidR="0083380D" w:rsidRPr="00BE108E" w:rsidRDefault="0083380D" w:rsidP="0083380D">
      <w:r w:rsidRPr="00BE108E">
        <w:t xml:space="preserve">В рамках мероприятий, направленных на повышение эффективности деятельности государственных областных унитарных предприятий и хозяйственных обществ, акции (доли) которых находятся в государственной собственности Мурманской области, внедрена система ключевых показателей эффективности для оценки эффективности деятельности менеджмента госкомпаний. </w:t>
      </w:r>
    </w:p>
    <w:p w:rsidR="0083380D" w:rsidRPr="00BE108E" w:rsidRDefault="0083380D" w:rsidP="0083380D">
      <w:r w:rsidRPr="00BE108E">
        <w:t xml:space="preserve">В 2014 году Правительством области не принимались решения о реорганизации и преобразовании областных унитарных предприятий ввиду отсутствия предложений со стороны ИОГВ о целесообразности перевода </w:t>
      </w:r>
      <w:r w:rsidR="00DF5AED" w:rsidRPr="00BE108E">
        <w:t xml:space="preserve">подведомственных предприятий </w:t>
      </w:r>
      <w:r w:rsidRPr="00BE108E">
        <w:t xml:space="preserve">в иные организационно-правовые формы (соответствующий целевой показатель не выполнен). </w:t>
      </w:r>
    </w:p>
    <w:p w:rsidR="0083380D" w:rsidRPr="00BE108E" w:rsidRDefault="0083380D" w:rsidP="0083380D">
      <w:r w:rsidRPr="00BE108E">
        <w:rPr>
          <w:rFonts w:eastAsia="Times New Roman"/>
        </w:rPr>
        <w:t xml:space="preserve">Система учета государственного имущества </w:t>
      </w:r>
      <w:r w:rsidRPr="00BE108E">
        <w:rPr>
          <w:rFonts w:eastAsia="Times New Roman" w:cs="Arial"/>
        </w:rPr>
        <w:t>Мурманской области</w:t>
      </w:r>
      <w:r w:rsidRPr="00BE108E">
        <w:rPr>
          <w:rFonts w:eastAsia="Times New Roman"/>
        </w:rPr>
        <w:t>, в том числе земельных ресурсов, совершенствовалась посредством</w:t>
      </w:r>
      <w:r w:rsidRPr="00BE108E">
        <w:t xml:space="preserve"> формирования реестра государственного имущества области с использованием новой автоматизированной информационной системы «Шерп – Учет», структура которой включает сведения о правообладателях областного имущества, об объектах недвижимого и движимого имущества, нематериальных активах, имуществе казны и в полной мере учитывает требования федерального и регионального законодательства. На конец отчетного периода в реестр включены сведения согласно 14</w:t>
      </w:r>
      <w:r w:rsidR="00DF5AED" w:rsidRPr="00BE108E">
        <w:t> </w:t>
      </w:r>
      <w:r w:rsidRPr="00BE108E">
        <w:t>156 картам учета, что превышает плановое значение на 8,8%.</w:t>
      </w:r>
    </w:p>
    <w:p w:rsidR="0083380D" w:rsidRPr="00BE108E" w:rsidRDefault="0083380D" w:rsidP="0083380D">
      <w:pPr>
        <w:rPr>
          <w:color w:val="000000"/>
        </w:rPr>
      </w:pPr>
      <w:r w:rsidRPr="00BE108E">
        <w:rPr>
          <w:color w:val="000000"/>
        </w:rPr>
        <w:t xml:space="preserve">В 2014 году </w:t>
      </w:r>
      <w:r w:rsidRPr="00BE108E">
        <w:t>выполнены к</w:t>
      </w:r>
      <w:r w:rsidRPr="00BE108E">
        <w:rPr>
          <w:color w:val="000000"/>
        </w:rPr>
        <w:t xml:space="preserve">адастровые работы в отношении 7 земельных участков общей площадью 23 га, находящихся в собственности Мурманской области или подлежащих отнесению к собственности Мурманской области, что в полтора раза </w:t>
      </w:r>
      <w:r w:rsidR="00DF5AED" w:rsidRPr="00BE108E">
        <w:rPr>
          <w:color w:val="000000"/>
        </w:rPr>
        <w:t>выше</w:t>
      </w:r>
      <w:r w:rsidRPr="00BE108E">
        <w:rPr>
          <w:color w:val="000000"/>
        </w:rPr>
        <w:t xml:space="preserve"> запланированно</w:t>
      </w:r>
      <w:r w:rsidR="00DF5AED" w:rsidRPr="00BE108E">
        <w:rPr>
          <w:color w:val="000000"/>
        </w:rPr>
        <w:t>го</w:t>
      </w:r>
      <w:r w:rsidRPr="00BE108E">
        <w:rPr>
          <w:color w:val="000000"/>
        </w:rPr>
        <w:t xml:space="preserve"> значени</w:t>
      </w:r>
      <w:r w:rsidR="00DF5AED" w:rsidRPr="00BE108E">
        <w:rPr>
          <w:color w:val="000000"/>
        </w:rPr>
        <w:t>я</w:t>
      </w:r>
      <w:r w:rsidRPr="00BE108E">
        <w:rPr>
          <w:color w:val="000000"/>
        </w:rPr>
        <w:t>.</w:t>
      </w:r>
    </w:p>
    <w:p w:rsidR="0083380D" w:rsidRPr="00BE108E" w:rsidRDefault="0083380D" w:rsidP="0083380D">
      <w:pPr>
        <w:rPr>
          <w:rFonts w:eastAsia="Times New Roman"/>
        </w:rPr>
      </w:pPr>
      <w:r w:rsidRPr="00BE108E">
        <w:rPr>
          <w:bCs/>
        </w:rPr>
        <w:t xml:space="preserve">В рамках решения задачи по </w:t>
      </w:r>
      <w:r w:rsidRPr="00BE108E">
        <w:rPr>
          <w:b/>
          <w:bCs/>
        </w:rPr>
        <w:t>ф</w:t>
      </w:r>
      <w:r w:rsidRPr="00BE108E">
        <w:rPr>
          <w:rFonts w:eastAsia="Times New Roman"/>
          <w:b/>
          <w:color w:val="000000"/>
        </w:rPr>
        <w:t xml:space="preserve">ормированию патриотического сознания граждан Мурманской области </w:t>
      </w:r>
      <w:r w:rsidRPr="00BE108E">
        <w:rPr>
          <w:rFonts w:eastAsia="Times New Roman"/>
          <w:color w:val="000000"/>
        </w:rPr>
        <w:t>было о</w:t>
      </w:r>
      <w:r w:rsidRPr="00BE108E">
        <w:rPr>
          <w:rFonts w:eastAsia="Times New Roman"/>
        </w:rPr>
        <w:t>рганизовано и проведено 27 военно-патриотических экспедиций с участием 1468 человек, тематические конкурсы, фестивали.</w:t>
      </w:r>
    </w:p>
    <w:p w:rsidR="0083380D" w:rsidRPr="00BE108E" w:rsidRDefault="0083380D" w:rsidP="0083380D">
      <w:pPr>
        <w:rPr>
          <w:rFonts w:eastAsia="Times New Roman"/>
        </w:rPr>
      </w:pPr>
      <w:r w:rsidRPr="00BE108E">
        <w:rPr>
          <w:rFonts w:eastAsia="Times New Roman"/>
        </w:rPr>
        <w:t>Наиболее значимое торжественное мероприятие прошло на мемориальном комплексе «Долина Славы», посвящ</w:t>
      </w:r>
      <w:r w:rsidR="00DF5AED" w:rsidRPr="00BE108E">
        <w:rPr>
          <w:rFonts w:eastAsia="Times New Roman"/>
        </w:rPr>
        <w:t>е</w:t>
      </w:r>
      <w:r w:rsidRPr="00BE108E">
        <w:rPr>
          <w:rFonts w:eastAsia="Times New Roman"/>
        </w:rPr>
        <w:t>нное Победе в Великой Отечественной войне.</w:t>
      </w:r>
      <w:r w:rsidR="00FB5C0B">
        <w:rPr>
          <w:rFonts w:eastAsia="Times New Roman"/>
        </w:rPr>
        <w:t xml:space="preserve"> </w:t>
      </w:r>
    </w:p>
    <w:p w:rsidR="0083380D" w:rsidRPr="00BE108E" w:rsidRDefault="0083380D" w:rsidP="0083380D">
      <w:pPr>
        <w:rPr>
          <w:rFonts w:eastAsia="Times New Roman"/>
        </w:rPr>
      </w:pPr>
      <w:r w:rsidRPr="00BE108E">
        <w:rPr>
          <w:rFonts w:eastAsia="Times New Roman"/>
        </w:rPr>
        <w:t xml:space="preserve">Были благоустроены памятники погибшим воинам и воинские захоронения, увековечены имена воинов, погибших в боях за Советское </w:t>
      </w:r>
      <w:r w:rsidRPr="00BE108E">
        <w:rPr>
          <w:rFonts w:eastAsia="Times New Roman"/>
        </w:rPr>
        <w:lastRenderedPageBreak/>
        <w:t xml:space="preserve">Заполярье. При участии общественных организаций, ОМСУ, военного комиссариата Мурманской области проведена работа по паспортизации 284 воинских захоронений, расположенных на территории региона. </w:t>
      </w:r>
    </w:p>
    <w:p w:rsidR="0083380D" w:rsidRPr="00BE108E" w:rsidRDefault="0083380D" w:rsidP="0083380D">
      <w:pPr>
        <w:rPr>
          <w:rFonts w:eastAsia="Times New Roman"/>
        </w:rPr>
      </w:pPr>
      <w:r w:rsidRPr="00BE108E">
        <w:rPr>
          <w:rFonts w:eastAsia="Times New Roman"/>
        </w:rPr>
        <w:t>Проводились занятия с допризывной молодежью по начальной военной подготовке, подготовлены и распространены в молодежных клубах и патриотических объединениях на погранзаставах, кораблях, в гарнизонах сборники фильмов о боях в Заполярье и работе Регионального центра гражданского и патриотического воспитания и подготовки молодежи к военной службе.</w:t>
      </w:r>
    </w:p>
    <w:p w:rsidR="0083380D" w:rsidRPr="00BE108E" w:rsidRDefault="0083380D" w:rsidP="0083380D">
      <w:pPr>
        <w:rPr>
          <w:rFonts w:eastAsia="Times New Roman"/>
        </w:rPr>
      </w:pPr>
      <w:r w:rsidRPr="00BE108E">
        <w:t>В целях выявления и распространения передового педагогического опыта по вопросам военно-патриотического воспитания проведен региональный этап Всероссийского конкурса «Растим патриотов России», в котором приняли участие 50 педагогических работников. По итогам Конкурса создан информационный банк методических разработок по патриотическому воспитанию обучающихся.</w:t>
      </w:r>
      <w:r w:rsidRPr="00BE108E">
        <w:rPr>
          <w:rFonts w:eastAsia="Times New Roman"/>
        </w:rPr>
        <w:t xml:space="preserve"> </w:t>
      </w:r>
    </w:p>
    <w:p w:rsidR="0083380D" w:rsidRPr="00BE108E" w:rsidRDefault="0083380D" w:rsidP="0083380D">
      <w:pPr>
        <w:rPr>
          <w:rFonts w:eastAsia="Times New Roman"/>
          <w:b/>
        </w:rPr>
      </w:pPr>
      <w:r w:rsidRPr="00BE108E">
        <w:rPr>
          <w:rFonts w:eastAsia="Times New Roman"/>
        </w:rPr>
        <w:t>Создан Координационный совет по патриотическому воспитанию граждан Российской Федерации в Мурманской области. План мероприятий по патриотическому воспитанию граждан Российской Федерации в Мурманской области на 2014 год, утвержденный Координационным советом, выполнен в полном объеме.</w:t>
      </w:r>
    </w:p>
    <w:p w:rsidR="0083380D" w:rsidRPr="00BE108E" w:rsidRDefault="0083380D" w:rsidP="0083380D">
      <w:pPr>
        <w:rPr>
          <w:rFonts w:eastAsia="Times New Roman"/>
        </w:rPr>
      </w:pPr>
      <w:r w:rsidRPr="00BE108E">
        <w:rPr>
          <w:rFonts w:eastAsia="Times New Roman"/>
        </w:rPr>
        <w:t xml:space="preserve">В целях </w:t>
      </w:r>
      <w:r w:rsidRPr="00BE108E">
        <w:rPr>
          <w:rFonts w:eastAsia="Times New Roman"/>
          <w:b/>
        </w:rPr>
        <w:t>с</w:t>
      </w:r>
      <w:r w:rsidRPr="00BE108E">
        <w:rPr>
          <w:rFonts w:eastAsia="Times New Roman"/>
          <w:b/>
          <w:color w:val="000000"/>
        </w:rPr>
        <w:t>одействия развитию институтов гражданского общества в Мурманской области</w:t>
      </w:r>
      <w:r w:rsidRPr="00BE108E">
        <w:rPr>
          <w:rFonts w:eastAsia="Times New Roman"/>
        </w:rPr>
        <w:t xml:space="preserve"> проведена работа по созданию Общественных советов при исполнительных органах власти, в формировании которых приняла участие Общественная палата Мурманской области. </w:t>
      </w:r>
    </w:p>
    <w:p w:rsidR="0083380D" w:rsidRPr="00BE108E" w:rsidRDefault="0083380D" w:rsidP="0083380D">
      <w:pPr>
        <w:rPr>
          <w:rFonts w:eastAsia="Times New Roman"/>
        </w:rPr>
      </w:pPr>
      <w:r w:rsidRPr="00BE108E">
        <w:rPr>
          <w:rFonts w:eastAsia="Times New Roman"/>
        </w:rPr>
        <w:t xml:space="preserve">В 2014 году было проведено 45 заседаний Общественной палаты, </w:t>
      </w:r>
      <w:r w:rsidRPr="00BE108E">
        <w:rPr>
          <w:rFonts w:eastAsia="Times New Roman"/>
          <w:bCs/>
        </w:rPr>
        <w:t>ч</w:t>
      </w:r>
      <w:r w:rsidRPr="00BE108E">
        <w:rPr>
          <w:rFonts w:eastAsia="Times New Roman"/>
        </w:rPr>
        <w:t>лены которой провели 12 общественных экспертиз региональных и федеральных законопроектов, продолжили работу в консультативно-совещательных советах, во всероссийских мероприятиях и Общественной палате России.</w:t>
      </w:r>
    </w:p>
    <w:p w:rsidR="0083380D" w:rsidRPr="00BE108E" w:rsidRDefault="0083380D" w:rsidP="0083380D">
      <w:pPr>
        <w:rPr>
          <w:rFonts w:eastAsia="Times New Roman"/>
        </w:rPr>
      </w:pPr>
      <w:r w:rsidRPr="00BE108E">
        <w:rPr>
          <w:rFonts w:eastAsia="Times New Roman"/>
        </w:rPr>
        <w:t xml:space="preserve">На конкурсной основе поддержаны 27 проектов общественных объединений. В числе приоритетных </w:t>
      </w:r>
      <w:r w:rsidR="00DF5AED" w:rsidRPr="00BE108E">
        <w:rPr>
          <w:rFonts w:eastAsia="Times New Roman"/>
        </w:rPr>
        <w:t>–</w:t>
      </w:r>
      <w:r w:rsidRPr="00BE108E">
        <w:rPr>
          <w:rFonts w:eastAsia="Times New Roman"/>
        </w:rPr>
        <w:t xml:space="preserve"> проекты, направленные на развитие межнационального сотрудничества, в том числе укрепление гражданского единства и гармонизацию межнациональных отношений, проведены 6 обучающих семинаров для 120 лидеров и членов общественных объединений.</w:t>
      </w:r>
    </w:p>
    <w:p w:rsidR="0083380D" w:rsidRPr="00BE108E" w:rsidRDefault="0083380D" w:rsidP="0083380D">
      <w:pPr>
        <w:rPr>
          <w:rFonts w:eastAsia="Times New Roman"/>
        </w:rPr>
      </w:pPr>
      <w:r w:rsidRPr="00BE108E">
        <w:rPr>
          <w:rFonts w:eastAsia="Times New Roman"/>
        </w:rPr>
        <w:t xml:space="preserve">В целях </w:t>
      </w:r>
      <w:r w:rsidRPr="00BE108E">
        <w:rPr>
          <w:rFonts w:eastAsia="Times New Roman"/>
          <w:b/>
        </w:rPr>
        <w:t>гармонизации межэтнических и этноконфессиональных отношений</w:t>
      </w:r>
      <w:r w:rsidRPr="00BE108E">
        <w:rPr>
          <w:rFonts w:eastAsia="Times New Roman"/>
        </w:rPr>
        <w:t xml:space="preserve"> в 2014 году реализовывалось сразу несколько планов, участниками мероприятий которых стали п</w:t>
      </w:r>
      <w:r w:rsidRPr="00BE108E">
        <w:t xml:space="preserve">редставители </w:t>
      </w:r>
      <w:r w:rsidRPr="00BE108E">
        <w:rPr>
          <w:rFonts w:eastAsia="Times New Roman"/>
        </w:rPr>
        <w:t xml:space="preserve">национально-культурных автономий и общественных объединений области, созданных по национальному признаку. </w:t>
      </w:r>
    </w:p>
    <w:p w:rsidR="0083380D" w:rsidRPr="00BE108E" w:rsidRDefault="0083380D" w:rsidP="0083380D">
      <w:pPr>
        <w:rPr>
          <w:rFonts w:eastAsia="Times New Roman"/>
        </w:rPr>
      </w:pPr>
      <w:r w:rsidRPr="00BE108E">
        <w:rPr>
          <w:rFonts w:eastAsia="Times New Roman"/>
        </w:rPr>
        <w:t xml:space="preserve">Это </w:t>
      </w:r>
      <w:r w:rsidR="00DF5AED" w:rsidRPr="00BE108E">
        <w:rPr>
          <w:rFonts w:eastAsia="Times New Roman"/>
        </w:rPr>
        <w:t>–</w:t>
      </w:r>
      <w:r w:rsidRPr="00BE108E">
        <w:rPr>
          <w:rFonts w:eastAsia="Times New Roman"/>
        </w:rPr>
        <w:t xml:space="preserve"> план</w:t>
      </w:r>
      <w:r w:rsidR="00DF5AED" w:rsidRPr="00BE108E">
        <w:rPr>
          <w:rFonts w:eastAsia="Times New Roman"/>
        </w:rPr>
        <w:t xml:space="preserve"> </w:t>
      </w:r>
      <w:r w:rsidRPr="00BE108E">
        <w:rPr>
          <w:rFonts w:eastAsia="Times New Roman"/>
        </w:rPr>
        <w:t xml:space="preserve">по реализации Стратегии государственной национальной политики Российской Федерации на период до 2025 года, план по реализации Концепции устойчивого развития коренных малочисленных народов Севера, Сибири и Дальнего Востока в Мурманской области, а так же Комплексный план действий по гармонизации межэтнических отношений. </w:t>
      </w:r>
    </w:p>
    <w:p w:rsidR="0083380D" w:rsidRPr="00BE108E" w:rsidRDefault="0083380D" w:rsidP="0083380D">
      <w:pPr>
        <w:rPr>
          <w:rFonts w:eastAsia="Times New Roman"/>
        </w:rPr>
      </w:pPr>
      <w:r w:rsidRPr="00BE108E">
        <w:rPr>
          <w:rFonts w:eastAsia="Times New Roman"/>
        </w:rPr>
        <w:t xml:space="preserve">Кроме того реализовывался комплекс мер, направленных на совершенствование работы по предупреждению межнациональных </w:t>
      </w:r>
      <w:r w:rsidRPr="00BE108E">
        <w:rPr>
          <w:rFonts w:eastAsia="Times New Roman"/>
        </w:rPr>
        <w:lastRenderedPageBreak/>
        <w:t>конфликтов, противодействию этнической и религиозной нетерпимости, ксенофобии и экстремистским проявлениям среди детей и молодежи Мурманской области.</w:t>
      </w:r>
    </w:p>
    <w:p w:rsidR="0083380D" w:rsidRPr="00BE108E" w:rsidRDefault="0083380D" w:rsidP="0083380D">
      <w:pPr>
        <w:rPr>
          <w:rFonts w:eastAsia="Times New Roman"/>
        </w:rPr>
      </w:pPr>
      <w:r w:rsidRPr="00BE108E">
        <w:rPr>
          <w:rFonts w:eastAsia="Times New Roman"/>
        </w:rPr>
        <w:t>По итогам проведенного социологического исследовани</w:t>
      </w:r>
      <w:r w:rsidR="00B91DC4">
        <w:rPr>
          <w:rFonts w:eastAsia="Times New Roman"/>
        </w:rPr>
        <w:t>я</w:t>
      </w:r>
      <w:r w:rsidRPr="00BE108E">
        <w:rPr>
          <w:rFonts w:eastAsia="Times New Roman"/>
        </w:rPr>
        <w:t xml:space="preserve"> на территории Мурманской области большая часть опрошенных затрудняются оценить состояние межнациональных отношений в регионе, 40% положительно</w:t>
      </w:r>
      <w:r w:rsidR="00DF5AED" w:rsidRPr="00BE108E">
        <w:rPr>
          <w:rFonts w:eastAsia="Times New Roman"/>
        </w:rPr>
        <w:t xml:space="preserve"> </w:t>
      </w:r>
      <w:r w:rsidRPr="00BE108E">
        <w:rPr>
          <w:rFonts w:eastAsia="Times New Roman"/>
        </w:rPr>
        <w:t xml:space="preserve">оценивают состояние межнациональных отношений в Мурманской области, что соответствует плановому значению. </w:t>
      </w:r>
    </w:p>
    <w:p w:rsidR="0083380D" w:rsidRPr="00BE108E" w:rsidRDefault="0083380D" w:rsidP="0083380D">
      <w:pPr>
        <w:rPr>
          <w:rFonts w:eastAsia="Times New Roman"/>
          <w:color w:val="000000"/>
        </w:rPr>
      </w:pPr>
      <w:r w:rsidRPr="00BE108E">
        <w:rPr>
          <w:rFonts w:eastAsia="Times New Roman" w:cs="Arial"/>
          <w:color w:val="000000"/>
        </w:rPr>
        <w:t xml:space="preserve">В рамках деятельности </w:t>
      </w:r>
      <w:r w:rsidRPr="00BE108E">
        <w:rPr>
          <w:rFonts w:eastAsia="Times New Roman" w:cs="Arial"/>
          <w:b/>
          <w:color w:val="000000"/>
        </w:rPr>
        <w:t>по п</w:t>
      </w:r>
      <w:r w:rsidRPr="00BE108E">
        <w:rPr>
          <w:rFonts w:eastAsia="Times New Roman"/>
          <w:b/>
        </w:rPr>
        <w:t>оддержке и развитию</w:t>
      </w:r>
      <w:r w:rsidRPr="00BE108E">
        <w:rPr>
          <w:rFonts w:eastAsia="Times New Roman" w:cs="Arial"/>
          <w:b/>
          <w:color w:val="000000"/>
        </w:rPr>
        <w:t xml:space="preserve"> </w:t>
      </w:r>
      <w:r w:rsidRPr="00BE108E">
        <w:rPr>
          <w:rFonts w:eastAsia="Times New Roman"/>
          <w:b/>
        </w:rPr>
        <w:t>общинных форм хозяйствования и самозанятости коренных</w:t>
      </w:r>
      <w:r w:rsidRPr="00BE108E">
        <w:rPr>
          <w:rFonts w:eastAsia="Times New Roman" w:cs="Arial"/>
          <w:b/>
          <w:color w:val="000000"/>
        </w:rPr>
        <w:t xml:space="preserve"> </w:t>
      </w:r>
      <w:r w:rsidRPr="00BE108E">
        <w:rPr>
          <w:rFonts w:eastAsia="Times New Roman"/>
          <w:b/>
        </w:rPr>
        <w:t>малочисленных народов Севера</w:t>
      </w:r>
      <w:r w:rsidRPr="00BE108E">
        <w:rPr>
          <w:rFonts w:eastAsia="Times New Roman" w:cs="Arial"/>
          <w:color w:val="000000"/>
        </w:rPr>
        <w:t xml:space="preserve"> Мурманской области 14 общинам были выделены с</w:t>
      </w:r>
      <w:r w:rsidRPr="00BE108E">
        <w:rPr>
          <w:rFonts w:eastAsia="Times New Roman"/>
          <w:color w:val="000000"/>
        </w:rPr>
        <w:t>убсидии для приобретения материально-технических средств.</w:t>
      </w:r>
    </w:p>
    <w:p w:rsidR="0083380D" w:rsidRPr="00BE108E" w:rsidRDefault="0083380D" w:rsidP="0083380D">
      <w:pPr>
        <w:rPr>
          <w:rFonts w:eastAsia="Times New Roman"/>
        </w:rPr>
      </w:pPr>
      <w:r w:rsidRPr="00BE108E">
        <w:rPr>
          <w:rFonts w:eastAsia="Times New Roman"/>
          <w:color w:val="000000"/>
        </w:rPr>
        <w:t xml:space="preserve">С целью </w:t>
      </w:r>
      <w:r w:rsidRPr="00BE108E">
        <w:rPr>
          <w:rFonts w:eastAsia="Times New Roman"/>
        </w:rPr>
        <w:t xml:space="preserve">сохранения их культурного наследия, традиций и обычаев, повышения уровня жизни была </w:t>
      </w:r>
      <w:r w:rsidRPr="00BE108E">
        <w:rPr>
          <w:rFonts w:eastAsia="Times New Roman"/>
          <w:color w:val="000000"/>
        </w:rPr>
        <w:t>и</w:t>
      </w:r>
      <w:r w:rsidRPr="00BE108E">
        <w:rPr>
          <w:rFonts w:eastAsia="Times New Roman"/>
        </w:rPr>
        <w:t xml:space="preserve">здана и переиздана литература на саамскую тематику (всего 4 издания), </w:t>
      </w:r>
      <w:r w:rsidRPr="00BE108E">
        <w:rPr>
          <w:rFonts w:eastAsia="Times New Roman"/>
          <w:color w:val="000000"/>
        </w:rPr>
        <w:t>работникам оленеводческих хозяйств из числа саами</w:t>
      </w:r>
      <w:r w:rsidRPr="00BE108E">
        <w:rPr>
          <w:rFonts w:eastAsia="Times New Roman"/>
        </w:rPr>
        <w:t xml:space="preserve"> </w:t>
      </w:r>
      <w:r w:rsidRPr="00BE108E">
        <w:rPr>
          <w:rFonts w:eastAsia="Times New Roman"/>
          <w:color w:val="000000"/>
        </w:rPr>
        <w:t>предоставлены путевки в санаторно-курортные учреждения (6 пут</w:t>
      </w:r>
      <w:r w:rsidR="00DF5AED" w:rsidRPr="00BE108E">
        <w:rPr>
          <w:rFonts w:eastAsia="Times New Roman"/>
          <w:color w:val="000000"/>
        </w:rPr>
        <w:t>е</w:t>
      </w:r>
      <w:r w:rsidRPr="00BE108E">
        <w:rPr>
          <w:rFonts w:eastAsia="Times New Roman"/>
          <w:color w:val="000000"/>
        </w:rPr>
        <w:t xml:space="preserve">вок). </w:t>
      </w:r>
    </w:p>
    <w:p w:rsidR="0083380D" w:rsidRPr="00BE108E" w:rsidRDefault="0083380D" w:rsidP="0083380D">
      <w:pPr>
        <w:rPr>
          <w:rFonts w:eastAsia="Times New Roman"/>
          <w:color w:val="000000"/>
        </w:rPr>
      </w:pPr>
      <w:r w:rsidRPr="00BE108E">
        <w:rPr>
          <w:rFonts w:eastAsia="Times New Roman"/>
        </w:rPr>
        <w:t>Представители из коренных</w:t>
      </w:r>
      <w:r w:rsidRPr="00BE108E">
        <w:rPr>
          <w:rFonts w:eastAsia="Times New Roman" w:cs="Arial"/>
          <w:color w:val="000000"/>
        </w:rPr>
        <w:t xml:space="preserve"> </w:t>
      </w:r>
      <w:r w:rsidRPr="00BE108E">
        <w:rPr>
          <w:rFonts w:eastAsia="Times New Roman"/>
        </w:rPr>
        <w:t>малочисленных народов Севера области</w:t>
      </w:r>
      <w:r w:rsidR="00DF5AED" w:rsidRPr="00BE108E">
        <w:rPr>
          <w:rFonts w:eastAsia="Times New Roman"/>
        </w:rPr>
        <w:t xml:space="preserve"> </w:t>
      </w:r>
      <w:r w:rsidRPr="00BE108E">
        <w:rPr>
          <w:rFonts w:eastAsia="Times New Roman" w:cs="Arial"/>
          <w:color w:val="000000"/>
        </w:rPr>
        <w:t xml:space="preserve">принимали участие в национальных праздниках, международных, региональных мероприятиях. Было </w:t>
      </w:r>
      <w:r w:rsidRPr="00BE108E">
        <w:rPr>
          <w:rFonts w:eastAsia="Times New Roman"/>
        </w:rPr>
        <w:t>п</w:t>
      </w:r>
      <w:r w:rsidRPr="00BE108E">
        <w:rPr>
          <w:rFonts w:eastAsia="Times New Roman" w:cs="Arial"/>
          <w:color w:val="000000"/>
        </w:rPr>
        <w:t>роведено четыре плановых и одно внеплановое заседания Совета представителей коренных малочисленных народов Севера при Правительстве Мурманской области.</w:t>
      </w:r>
    </w:p>
    <w:p w:rsidR="0083380D" w:rsidRPr="00BE108E" w:rsidRDefault="0083380D" w:rsidP="0083380D">
      <w:pPr>
        <w:rPr>
          <w:rFonts w:eastAsia="Times New Roman"/>
          <w:bCs/>
        </w:rPr>
      </w:pPr>
      <w:r w:rsidRPr="00BE108E">
        <w:rPr>
          <w:bCs/>
        </w:rPr>
        <w:t>С целью</w:t>
      </w:r>
      <w:r w:rsidRPr="00BE108E">
        <w:rPr>
          <w:b/>
          <w:bCs/>
        </w:rPr>
        <w:t xml:space="preserve"> создания условий для развития и укрепления института мировой юстиции в Мурманской области </w:t>
      </w:r>
      <w:r w:rsidRPr="00BE108E">
        <w:rPr>
          <w:kern w:val="28"/>
        </w:rPr>
        <w:t xml:space="preserve">совершенствовалась система материально-технического, информационно-технологического и кадрового обеспечения деятельности мировых судей региона на </w:t>
      </w:r>
      <w:r w:rsidRPr="00BE108E">
        <w:rPr>
          <w:rFonts w:eastAsia="Times New Roman"/>
          <w:bCs/>
        </w:rPr>
        <w:t xml:space="preserve">48 судебных участках, расположенных во всех административно-территориальных образованиях региона. </w:t>
      </w:r>
    </w:p>
    <w:p w:rsidR="0083380D" w:rsidRPr="00BE108E" w:rsidRDefault="0083380D" w:rsidP="0083380D">
      <w:pPr>
        <w:rPr>
          <w:rFonts w:eastAsia="MS Mincho"/>
          <w:lang w:eastAsia="ja-JP"/>
        </w:rPr>
      </w:pPr>
      <w:r w:rsidRPr="00BE108E">
        <w:t xml:space="preserve">Большинство служебных помещений судебных участков соответствуют требованиям, предъявляемым ведомственными нормативными документами. </w:t>
      </w:r>
      <w:r w:rsidRPr="00BE108E">
        <w:rPr>
          <w:rFonts w:eastAsia="MS Mincho"/>
          <w:lang w:eastAsia="ja-JP"/>
        </w:rPr>
        <w:t>В 2014 году произведены капитальный и текущий ремонты помещений судебных участков общей площадью свыше 1600 кв.</w:t>
      </w:r>
      <w:r w:rsidR="00EA37C0">
        <w:rPr>
          <w:rFonts w:eastAsia="MS Mincho"/>
          <w:lang w:eastAsia="ja-JP"/>
        </w:rPr>
        <w:t xml:space="preserve"> </w:t>
      </w:r>
      <w:r w:rsidRPr="00BE108E">
        <w:rPr>
          <w:rFonts w:eastAsia="MS Mincho"/>
          <w:lang w:eastAsia="ja-JP"/>
        </w:rPr>
        <w:t xml:space="preserve">м. Введены в эксплуатацию новые помещения участков Ковдорского и Кировского судебных районов. </w:t>
      </w:r>
    </w:p>
    <w:p w:rsidR="0083380D" w:rsidRPr="00BE108E" w:rsidRDefault="0083380D" w:rsidP="0083380D">
      <w:pPr>
        <w:rPr>
          <w:rFonts w:eastAsia="MS Mincho"/>
          <w:lang w:eastAsia="ja-JP"/>
        </w:rPr>
      </w:pPr>
      <w:r w:rsidRPr="00BE108E">
        <w:rPr>
          <w:rFonts w:eastAsia="MS Mincho"/>
          <w:lang w:eastAsia="ja-JP"/>
        </w:rPr>
        <w:t>Реализуются мероприятия по информатизации судебных участков. Все они объединены в единую компьютерную сеть. За истекший год мировыми судьями на официальных сайтах в сети «Интернет» размещена информация о движении 100 тысяч поступивших на рассмотрение дел и опубликовано 48 тысяч вынесенных по ним судебных решений. Данная информация востребована. В истекшем году количество посещений сайтов мировых судей региона превысило 53 тыс. человек.</w:t>
      </w:r>
    </w:p>
    <w:p w:rsidR="0083380D" w:rsidRPr="00BE108E" w:rsidRDefault="0083380D" w:rsidP="0083380D">
      <w:pPr>
        <w:rPr>
          <w:rFonts w:eastAsia="MS Mincho"/>
          <w:lang w:eastAsia="ja-JP"/>
        </w:rPr>
      </w:pPr>
      <w:r w:rsidRPr="00BE108E">
        <w:rPr>
          <w:rFonts w:eastAsia="MS Mincho"/>
          <w:lang w:eastAsia="ja-JP"/>
        </w:rPr>
        <w:t xml:space="preserve">В 2014 году решались задачи оснащения судебных участков техническими средствами, отвечающими самым современным требованиям к судопроизводству, а также электронными системами безопасности. </w:t>
      </w:r>
    </w:p>
    <w:p w:rsidR="0083380D" w:rsidRPr="00BE108E" w:rsidRDefault="0083380D" w:rsidP="0083380D">
      <w:pPr>
        <w:rPr>
          <w:rFonts w:eastAsia="MS Mincho"/>
          <w:lang w:eastAsia="ja-JP"/>
        </w:rPr>
      </w:pPr>
      <w:r w:rsidRPr="00BE108E">
        <w:rPr>
          <w:rFonts w:eastAsia="MS Mincho"/>
          <w:lang w:eastAsia="ja-JP"/>
        </w:rPr>
        <w:t xml:space="preserve">На конец отчетного периода удалось довести до 100% уровень обеспеченности судебных участков мировых судей Мурманской области залами судебных заседаний. </w:t>
      </w:r>
    </w:p>
    <w:p w:rsidR="0083380D" w:rsidRPr="00BE108E" w:rsidRDefault="0083380D" w:rsidP="0083380D">
      <w:r w:rsidRPr="00BE108E">
        <w:rPr>
          <w:rFonts w:eastAsia="MS Mincho"/>
          <w:lang w:eastAsia="ja-JP"/>
        </w:rPr>
        <w:lastRenderedPageBreak/>
        <w:t>Организовано повышение квалификации работников аппаратов мировых судей и мировых судей, в 2014 году квалификацию повысили 34 человека (план – 36 человек). Д</w:t>
      </w:r>
      <w:r w:rsidRPr="00BE108E">
        <w:t>оля мировых судей, впервые назначенных на должность судьи, прошедших переподготовку в течение года со дня назначения на должность судьи, составила 90% (плановое значение – 100%), что вызвано переносом на 2015 год переподготовки одного из судей.</w:t>
      </w:r>
      <w:r w:rsidR="00FB5C0B">
        <w:t xml:space="preserve"> </w:t>
      </w:r>
    </w:p>
    <w:p w:rsidR="0083380D" w:rsidRPr="00BE108E" w:rsidRDefault="0083380D" w:rsidP="0083380D">
      <w:r w:rsidRPr="00BE108E">
        <w:t xml:space="preserve">По итогам 2014 года из 78 показателей госпрограммы </w:t>
      </w:r>
      <w:r w:rsidR="00C851BD" w:rsidRPr="00BE108E">
        <w:t xml:space="preserve">с высокой степенью </w:t>
      </w:r>
      <w:r w:rsidRPr="00BE108E">
        <w:t xml:space="preserve">достигнуты </w:t>
      </w:r>
      <w:r w:rsidR="00C851BD" w:rsidRPr="00BE108E">
        <w:t xml:space="preserve">целевые значения </w:t>
      </w:r>
      <w:r w:rsidRPr="00BE108E">
        <w:t>7</w:t>
      </w:r>
      <w:r w:rsidR="00C851BD" w:rsidRPr="00BE108E">
        <w:t>1</w:t>
      </w:r>
      <w:r w:rsidRPr="00BE108E">
        <w:t xml:space="preserve"> показател</w:t>
      </w:r>
      <w:r w:rsidR="00C851BD" w:rsidRPr="00BE108E">
        <w:t>я, со средней – 3 показателя, с низкой – 1,</w:t>
      </w:r>
      <w:r w:rsidRPr="00BE108E">
        <w:t xml:space="preserve"> </w:t>
      </w:r>
      <w:r w:rsidR="00C851BD" w:rsidRPr="00BE108E">
        <w:t xml:space="preserve">3 показателя </w:t>
      </w:r>
      <w:r w:rsidRPr="00BE108E">
        <w:t>значительно перевыполнены. Средняя степень достижения составила 10</w:t>
      </w:r>
      <w:r w:rsidR="00C851BD" w:rsidRPr="00BE108E">
        <w:t>1,8</w:t>
      </w:r>
      <w:r w:rsidRPr="00BE108E">
        <w:t xml:space="preserve">%. </w:t>
      </w:r>
    </w:p>
    <w:p w:rsidR="00FF4E43" w:rsidRPr="00BE108E" w:rsidRDefault="0083380D" w:rsidP="0083380D">
      <w:r w:rsidRPr="00BE108E">
        <w:t>В соответствии с установленной методикой с учетом высокого уровня достижения целевых значений показателей (94,9%), уровня финансирования реализации основных мероприятий (100,2%) и средней результативности реализации мероприятий (более 95%) госпрограмма признана реализуемой с удовлетворительным уровнем эффективности.</w:t>
      </w:r>
    </w:p>
    <w:p w:rsidR="00FF4E43" w:rsidRPr="00BE108E" w:rsidRDefault="00FF4E43" w:rsidP="00C851BD">
      <w:pPr>
        <w:pStyle w:val="ConsPlusCell"/>
        <w:jc w:val="both"/>
        <w:rPr>
          <w:rStyle w:val="FontStyle14"/>
          <w:sz w:val="28"/>
          <w:szCs w:val="28"/>
        </w:rPr>
      </w:pPr>
    </w:p>
    <w:p w:rsidR="00FF4E43" w:rsidRPr="00BE108E" w:rsidRDefault="00FF4E43" w:rsidP="00FF4E43">
      <w:pPr>
        <w:pStyle w:val="ConsPlusCell"/>
        <w:ind w:firstLine="709"/>
        <w:jc w:val="both"/>
        <w:rPr>
          <w:rStyle w:val="FontStyle14"/>
          <w:sz w:val="28"/>
          <w:szCs w:val="28"/>
        </w:rPr>
      </w:pPr>
    </w:p>
    <w:p w:rsidR="00096B18" w:rsidRPr="00BE108E" w:rsidRDefault="00096B18" w:rsidP="00B93BB7">
      <w:pPr>
        <w:pStyle w:val="1"/>
      </w:pPr>
      <w:r w:rsidRPr="00BE108E">
        <w:t>Выводы и рекомендации</w:t>
      </w:r>
    </w:p>
    <w:p w:rsidR="00096B18" w:rsidRPr="00BE108E" w:rsidRDefault="00096B18" w:rsidP="00096B18">
      <w:pPr>
        <w:pStyle w:val="ConsPlusCell"/>
        <w:ind w:firstLine="709"/>
        <w:jc w:val="both"/>
        <w:rPr>
          <w:rStyle w:val="FontStyle14"/>
          <w:b/>
        </w:rPr>
      </w:pPr>
    </w:p>
    <w:p w:rsidR="00096B18" w:rsidRPr="00BE108E" w:rsidRDefault="00096B18" w:rsidP="00096B18">
      <w:pPr>
        <w:pStyle w:val="ConsPlusCell"/>
        <w:ind w:firstLine="709"/>
        <w:jc w:val="both"/>
        <w:rPr>
          <w:rStyle w:val="FontStyle14"/>
          <w:sz w:val="28"/>
          <w:szCs w:val="28"/>
        </w:rPr>
      </w:pPr>
      <w:r w:rsidRPr="00BE108E">
        <w:rPr>
          <w:rStyle w:val="FontStyle14"/>
          <w:sz w:val="28"/>
          <w:szCs w:val="28"/>
        </w:rPr>
        <w:t>Проведенный анализ хода реализации государственных программ Мурманской области выявил ряд недостатков при их формировании и реализации, а именно:</w:t>
      </w:r>
    </w:p>
    <w:p w:rsidR="00096B18" w:rsidRPr="00BE108E" w:rsidRDefault="00096B18" w:rsidP="00096B18">
      <w:pPr>
        <w:pStyle w:val="ConsPlusCell"/>
        <w:numPr>
          <w:ilvl w:val="0"/>
          <w:numId w:val="6"/>
        </w:numPr>
        <w:tabs>
          <w:tab w:val="left" w:pos="1276"/>
        </w:tabs>
        <w:ind w:left="0" w:firstLine="709"/>
        <w:jc w:val="both"/>
        <w:rPr>
          <w:rStyle w:val="FontStyle14"/>
          <w:sz w:val="28"/>
          <w:szCs w:val="28"/>
        </w:rPr>
      </w:pPr>
      <w:r w:rsidRPr="00BE108E">
        <w:rPr>
          <w:rStyle w:val="FontStyle14"/>
          <w:sz w:val="28"/>
          <w:szCs w:val="28"/>
        </w:rPr>
        <w:t>Низкое качество планирования значений ряда показателей</w:t>
      </w:r>
      <w:r w:rsidR="00DC19D7" w:rsidRPr="00BE108E">
        <w:rPr>
          <w:rStyle w:val="FontStyle14"/>
          <w:sz w:val="28"/>
          <w:szCs w:val="28"/>
        </w:rPr>
        <w:t xml:space="preserve"> государственных программ</w:t>
      </w:r>
      <w:r w:rsidRPr="00BE108E">
        <w:rPr>
          <w:rStyle w:val="FontStyle14"/>
          <w:sz w:val="28"/>
          <w:szCs w:val="28"/>
        </w:rPr>
        <w:t xml:space="preserve">, в том числе отсутствие анализа результатов предыдущих лет при установлении плановых значений. </w:t>
      </w:r>
    </w:p>
    <w:p w:rsidR="00096B18" w:rsidRPr="00BE108E" w:rsidRDefault="00DC19D7" w:rsidP="00096B18">
      <w:pPr>
        <w:pStyle w:val="ConsPlusCell"/>
        <w:numPr>
          <w:ilvl w:val="0"/>
          <w:numId w:val="6"/>
        </w:numPr>
        <w:tabs>
          <w:tab w:val="left" w:pos="1276"/>
        </w:tabs>
        <w:ind w:left="0" w:firstLine="709"/>
        <w:jc w:val="both"/>
        <w:rPr>
          <w:rStyle w:val="FontStyle14"/>
          <w:sz w:val="28"/>
          <w:szCs w:val="28"/>
        </w:rPr>
      </w:pPr>
      <w:r w:rsidRPr="00BE108E">
        <w:rPr>
          <w:rStyle w:val="FontStyle14"/>
          <w:sz w:val="28"/>
          <w:szCs w:val="28"/>
        </w:rPr>
        <w:t>Отсутствие (недостаточный уровень</w:t>
      </w:r>
      <w:r w:rsidR="00096B18" w:rsidRPr="00BE108E">
        <w:rPr>
          <w:rStyle w:val="FontStyle14"/>
          <w:sz w:val="28"/>
          <w:szCs w:val="28"/>
        </w:rPr>
        <w:t xml:space="preserve">) влияния комплекса реализуемых мероприятий на достижение значений </w:t>
      </w:r>
      <w:r w:rsidR="00EA37C0">
        <w:rPr>
          <w:rStyle w:val="FontStyle14"/>
          <w:sz w:val="28"/>
          <w:szCs w:val="28"/>
        </w:rPr>
        <w:t>целевых показателей</w:t>
      </w:r>
      <w:r w:rsidR="00096B18" w:rsidRPr="00BE108E">
        <w:rPr>
          <w:rStyle w:val="FontStyle14"/>
          <w:sz w:val="28"/>
          <w:szCs w:val="28"/>
        </w:rPr>
        <w:t>, установленных в отдельных программах</w:t>
      </w:r>
      <w:r w:rsidRPr="00BE108E">
        <w:rPr>
          <w:rStyle w:val="FontStyle14"/>
          <w:sz w:val="28"/>
          <w:szCs w:val="28"/>
        </w:rPr>
        <w:t xml:space="preserve"> (показателей, характеризующих развитие отраслей экономики)</w:t>
      </w:r>
      <w:r w:rsidR="00096B18" w:rsidRPr="00BE108E">
        <w:rPr>
          <w:rStyle w:val="FontStyle14"/>
          <w:sz w:val="28"/>
          <w:szCs w:val="28"/>
        </w:rPr>
        <w:t>.</w:t>
      </w:r>
    </w:p>
    <w:p w:rsidR="00096B18" w:rsidRPr="00BE108E" w:rsidRDefault="00096B18" w:rsidP="00096B18">
      <w:pPr>
        <w:pStyle w:val="ConsPlusCell"/>
        <w:numPr>
          <w:ilvl w:val="0"/>
          <w:numId w:val="6"/>
        </w:numPr>
        <w:tabs>
          <w:tab w:val="left" w:pos="1276"/>
        </w:tabs>
        <w:ind w:left="0" w:firstLine="709"/>
        <w:jc w:val="both"/>
        <w:rPr>
          <w:rStyle w:val="FontStyle14"/>
          <w:sz w:val="28"/>
          <w:szCs w:val="28"/>
        </w:rPr>
      </w:pPr>
      <w:r w:rsidRPr="00BE108E">
        <w:rPr>
          <w:rStyle w:val="FontStyle14"/>
          <w:sz w:val="28"/>
          <w:szCs w:val="28"/>
        </w:rPr>
        <w:t>Сохранение тенденции неритмичного финансирования объектов капитального строительства,</w:t>
      </w:r>
      <w:r w:rsidR="003020A9" w:rsidRPr="00BE108E">
        <w:rPr>
          <w:rStyle w:val="FontStyle14"/>
          <w:sz w:val="28"/>
          <w:szCs w:val="28"/>
        </w:rPr>
        <w:t xml:space="preserve"> отставани</w:t>
      </w:r>
      <w:r w:rsidR="00EA37C0">
        <w:rPr>
          <w:rStyle w:val="FontStyle14"/>
          <w:sz w:val="28"/>
          <w:szCs w:val="28"/>
        </w:rPr>
        <w:t>я</w:t>
      </w:r>
      <w:r w:rsidR="003020A9" w:rsidRPr="00BE108E">
        <w:rPr>
          <w:rStyle w:val="FontStyle14"/>
          <w:sz w:val="28"/>
          <w:szCs w:val="28"/>
        </w:rPr>
        <w:t xml:space="preserve"> от графиков производства работ в связи с недобросовестным исполнением обязательств подрядчиками, поздним заключением государственных контрактов</w:t>
      </w:r>
      <w:r w:rsidRPr="00BE108E">
        <w:rPr>
          <w:rStyle w:val="FontStyle14"/>
          <w:sz w:val="28"/>
          <w:szCs w:val="28"/>
        </w:rPr>
        <w:t>.</w:t>
      </w:r>
    </w:p>
    <w:p w:rsidR="00096B18" w:rsidRDefault="00096B18" w:rsidP="00096B18">
      <w:pPr>
        <w:pStyle w:val="ConsPlusCell"/>
        <w:numPr>
          <w:ilvl w:val="0"/>
          <w:numId w:val="6"/>
        </w:numPr>
        <w:tabs>
          <w:tab w:val="left" w:pos="1276"/>
        </w:tabs>
        <w:ind w:left="0" w:firstLine="709"/>
        <w:jc w:val="both"/>
        <w:rPr>
          <w:rStyle w:val="FontStyle14"/>
          <w:sz w:val="28"/>
          <w:szCs w:val="28"/>
        </w:rPr>
      </w:pPr>
      <w:r w:rsidRPr="00BE108E">
        <w:rPr>
          <w:rStyle w:val="FontStyle14"/>
          <w:sz w:val="28"/>
          <w:szCs w:val="28"/>
        </w:rPr>
        <w:t>Недостаточный контроль за реализацией мероприятий, выполняемых при участии органов местного самоуправления</w:t>
      </w:r>
      <w:r w:rsidR="003020A9" w:rsidRPr="00BE108E">
        <w:rPr>
          <w:rStyle w:val="FontStyle14"/>
          <w:sz w:val="28"/>
          <w:szCs w:val="28"/>
        </w:rPr>
        <w:t xml:space="preserve"> и сторонних организаций</w:t>
      </w:r>
      <w:r w:rsidRPr="00BE108E">
        <w:rPr>
          <w:rStyle w:val="FontStyle14"/>
          <w:sz w:val="28"/>
          <w:szCs w:val="28"/>
        </w:rPr>
        <w:t>.</w:t>
      </w:r>
      <w:r w:rsidR="00BF2C89" w:rsidRPr="00BE108E">
        <w:rPr>
          <w:rStyle w:val="FontStyle14"/>
          <w:sz w:val="28"/>
          <w:szCs w:val="28"/>
        </w:rPr>
        <w:t xml:space="preserve"> </w:t>
      </w:r>
    </w:p>
    <w:p w:rsidR="00096B18" w:rsidRPr="00BE108E" w:rsidRDefault="00C86D91" w:rsidP="00C86D91">
      <w:pPr>
        <w:pStyle w:val="ConsPlusCell"/>
        <w:ind w:firstLine="709"/>
        <w:jc w:val="both"/>
        <w:rPr>
          <w:rStyle w:val="FontStyle14"/>
          <w:sz w:val="28"/>
          <w:szCs w:val="28"/>
        </w:rPr>
      </w:pPr>
      <w:r>
        <w:rPr>
          <w:rStyle w:val="FontStyle14"/>
          <w:sz w:val="28"/>
          <w:szCs w:val="28"/>
        </w:rPr>
        <w:t xml:space="preserve">Кроме того, необходимо отметить </w:t>
      </w:r>
      <w:r w:rsidR="00DD1B63">
        <w:rPr>
          <w:rStyle w:val="FontStyle14"/>
          <w:sz w:val="28"/>
          <w:szCs w:val="28"/>
        </w:rPr>
        <w:t>недостаточное</w:t>
      </w:r>
      <w:r w:rsidR="00DD1B63" w:rsidRPr="00BE108E">
        <w:rPr>
          <w:rStyle w:val="FontStyle14"/>
          <w:sz w:val="28"/>
          <w:szCs w:val="28"/>
        </w:rPr>
        <w:t xml:space="preserve"> </w:t>
      </w:r>
      <w:r w:rsidR="00096B18" w:rsidRPr="00BE108E">
        <w:rPr>
          <w:rStyle w:val="FontStyle14"/>
          <w:sz w:val="28"/>
          <w:szCs w:val="28"/>
        </w:rPr>
        <w:t>качество подготовки отчетов ответственными исполни</w:t>
      </w:r>
      <w:r>
        <w:rPr>
          <w:rStyle w:val="FontStyle14"/>
          <w:sz w:val="28"/>
          <w:szCs w:val="28"/>
        </w:rPr>
        <w:t xml:space="preserve">телями государственных программ, что выражается в </w:t>
      </w:r>
      <w:r w:rsidR="00DD1B63">
        <w:rPr>
          <w:rStyle w:val="FontStyle14"/>
          <w:sz w:val="28"/>
          <w:szCs w:val="28"/>
        </w:rPr>
        <w:t>н</w:t>
      </w:r>
      <w:r w:rsidR="00DD1B63" w:rsidRPr="00BE108E">
        <w:rPr>
          <w:rStyle w:val="FontStyle14"/>
          <w:sz w:val="28"/>
          <w:szCs w:val="28"/>
        </w:rPr>
        <w:t>изко</w:t>
      </w:r>
      <w:r w:rsidR="00DD1B63">
        <w:rPr>
          <w:rStyle w:val="FontStyle14"/>
          <w:sz w:val="28"/>
          <w:szCs w:val="28"/>
        </w:rPr>
        <w:t xml:space="preserve">м уровне дисциплины по предоставлению отчетных данных отдельными </w:t>
      </w:r>
      <w:r w:rsidR="006D27FE">
        <w:rPr>
          <w:rStyle w:val="FontStyle14"/>
          <w:sz w:val="28"/>
          <w:szCs w:val="28"/>
        </w:rPr>
        <w:t xml:space="preserve">исполнительными </w:t>
      </w:r>
      <w:r w:rsidR="00DD1B63">
        <w:rPr>
          <w:rStyle w:val="FontStyle14"/>
          <w:sz w:val="28"/>
          <w:szCs w:val="28"/>
        </w:rPr>
        <w:t xml:space="preserve">органами </w:t>
      </w:r>
      <w:r w:rsidR="006D27FE">
        <w:rPr>
          <w:rStyle w:val="FontStyle14"/>
          <w:sz w:val="28"/>
          <w:szCs w:val="28"/>
        </w:rPr>
        <w:t>государственной власти Мурманской области</w:t>
      </w:r>
      <w:r w:rsidR="00DD1B63">
        <w:rPr>
          <w:rStyle w:val="FontStyle14"/>
          <w:sz w:val="28"/>
          <w:szCs w:val="28"/>
        </w:rPr>
        <w:t>, а также в</w:t>
      </w:r>
      <w:r>
        <w:rPr>
          <w:rStyle w:val="FontStyle14"/>
          <w:sz w:val="28"/>
          <w:szCs w:val="28"/>
        </w:rPr>
        <w:t xml:space="preserve"> отсутствии анализа </w:t>
      </w:r>
      <w:r w:rsidR="00DD1B63">
        <w:rPr>
          <w:rStyle w:val="FontStyle14"/>
          <w:sz w:val="28"/>
          <w:szCs w:val="28"/>
        </w:rPr>
        <w:t>итогов реализации государственных программ с последующей выработкой мер по недопущению отклонения хода их выполнения от запланированного уровня.</w:t>
      </w:r>
    </w:p>
    <w:p w:rsidR="00096B18" w:rsidRPr="00BE108E" w:rsidRDefault="00096B18" w:rsidP="00096B18">
      <w:pPr>
        <w:pStyle w:val="ConsPlusCell"/>
        <w:ind w:firstLine="709"/>
        <w:jc w:val="both"/>
        <w:rPr>
          <w:rStyle w:val="FontStyle14"/>
          <w:sz w:val="28"/>
          <w:szCs w:val="28"/>
        </w:rPr>
      </w:pPr>
    </w:p>
    <w:p w:rsidR="00096B18" w:rsidRPr="00BE108E" w:rsidRDefault="00882778" w:rsidP="00096B18">
      <w:pPr>
        <w:pStyle w:val="ConsPlusCell"/>
        <w:ind w:firstLine="709"/>
        <w:jc w:val="both"/>
        <w:rPr>
          <w:rStyle w:val="FontStyle14"/>
          <w:sz w:val="28"/>
          <w:szCs w:val="28"/>
        </w:rPr>
      </w:pPr>
      <w:r w:rsidRPr="00BE108E">
        <w:rPr>
          <w:rStyle w:val="FontStyle14"/>
          <w:sz w:val="28"/>
          <w:szCs w:val="28"/>
        </w:rPr>
        <w:lastRenderedPageBreak/>
        <w:t>В</w:t>
      </w:r>
      <w:r w:rsidR="00096B18" w:rsidRPr="00BE108E">
        <w:rPr>
          <w:rStyle w:val="FontStyle14"/>
          <w:sz w:val="28"/>
          <w:szCs w:val="28"/>
        </w:rPr>
        <w:t xml:space="preserve"> целях повышения эффективности реализации государственных программ в последующие периоды, исполнительным органам государственной власти Мурманской области предлагается:</w:t>
      </w:r>
    </w:p>
    <w:p w:rsidR="00096B18" w:rsidRPr="00BE108E" w:rsidRDefault="00096B18" w:rsidP="00096B18">
      <w:pPr>
        <w:pStyle w:val="ConsPlusCell"/>
        <w:ind w:firstLine="709"/>
        <w:jc w:val="both"/>
        <w:rPr>
          <w:rStyle w:val="FontStyle14"/>
          <w:sz w:val="28"/>
          <w:szCs w:val="28"/>
        </w:rPr>
      </w:pPr>
      <w:r w:rsidRPr="00BE108E">
        <w:rPr>
          <w:rStyle w:val="FontStyle14"/>
          <w:sz w:val="28"/>
          <w:szCs w:val="28"/>
        </w:rPr>
        <w:t>1. При внесении изменений в государственные программы провести корректировку плановых значений показателей исходя из результатов реализации в 2013-2014 гг.</w:t>
      </w:r>
    </w:p>
    <w:p w:rsidR="00096B18" w:rsidRPr="00BE108E" w:rsidRDefault="00096B18" w:rsidP="00096B18">
      <w:pPr>
        <w:pStyle w:val="ConsPlusCell"/>
        <w:ind w:firstLine="709"/>
        <w:jc w:val="both"/>
        <w:rPr>
          <w:rStyle w:val="FontStyle14"/>
          <w:sz w:val="28"/>
          <w:szCs w:val="28"/>
        </w:rPr>
      </w:pPr>
      <w:r w:rsidRPr="00BE108E">
        <w:rPr>
          <w:rStyle w:val="FontStyle14"/>
          <w:sz w:val="28"/>
          <w:szCs w:val="28"/>
        </w:rPr>
        <w:t>2. Провести комплексный анализ государственных программ с целью определения достаточности предусмотренных мероприятий для достижения целевых показателей</w:t>
      </w:r>
      <w:r w:rsidR="00882778" w:rsidRPr="00BE108E">
        <w:rPr>
          <w:rStyle w:val="FontStyle14"/>
          <w:sz w:val="28"/>
          <w:szCs w:val="28"/>
        </w:rPr>
        <w:t>, в том числе необходимости включения в планы реализации государственных программ мероприятий «дорожных карт» и комплексных планов, направленных на достижение показателей указов Президента РФ.</w:t>
      </w:r>
      <w:r w:rsidRPr="00BE108E">
        <w:rPr>
          <w:rStyle w:val="FontStyle14"/>
          <w:sz w:val="28"/>
          <w:szCs w:val="28"/>
        </w:rPr>
        <w:t xml:space="preserve"> </w:t>
      </w:r>
    </w:p>
    <w:p w:rsidR="00096B18" w:rsidRPr="00BE108E" w:rsidRDefault="00096B18" w:rsidP="00096B18">
      <w:pPr>
        <w:pStyle w:val="ConsPlusCell"/>
        <w:ind w:firstLine="709"/>
        <w:jc w:val="both"/>
        <w:rPr>
          <w:rStyle w:val="FontStyle14"/>
          <w:sz w:val="28"/>
          <w:szCs w:val="28"/>
        </w:rPr>
      </w:pPr>
      <w:r w:rsidRPr="00BE108E">
        <w:rPr>
          <w:rStyle w:val="FontStyle14"/>
          <w:sz w:val="28"/>
          <w:szCs w:val="28"/>
        </w:rPr>
        <w:t>3. Усилить контроль за эффективным использованием бюджетных средств по</w:t>
      </w:r>
      <w:r w:rsidR="00BF2C89" w:rsidRPr="00BE108E">
        <w:rPr>
          <w:rStyle w:val="FontStyle14"/>
          <w:sz w:val="28"/>
          <w:szCs w:val="28"/>
        </w:rPr>
        <w:t xml:space="preserve"> </w:t>
      </w:r>
      <w:r w:rsidRPr="00BE108E">
        <w:rPr>
          <w:rStyle w:val="FontStyle14"/>
          <w:sz w:val="28"/>
          <w:szCs w:val="28"/>
        </w:rPr>
        <w:t>мероприятиям, реализуемым в рамках соглашений с муниципальными образованиями Мурманской области, за своевременным и полным выполнением муниципальными образованиями принятых обязательств.</w:t>
      </w:r>
    </w:p>
    <w:p w:rsidR="00096B18" w:rsidRPr="00BE108E" w:rsidRDefault="00096B18" w:rsidP="00096B18">
      <w:pPr>
        <w:pStyle w:val="ConsPlusCell"/>
        <w:ind w:firstLine="709"/>
        <w:jc w:val="both"/>
        <w:rPr>
          <w:rStyle w:val="FontStyle14"/>
          <w:sz w:val="28"/>
          <w:szCs w:val="28"/>
        </w:rPr>
      </w:pPr>
      <w:r w:rsidRPr="00BE108E">
        <w:rPr>
          <w:rStyle w:val="FontStyle14"/>
          <w:sz w:val="28"/>
          <w:szCs w:val="28"/>
        </w:rPr>
        <w:t>4. Обратить внимание на необходимость оперативного проведения конкурсных процедур, заключения государственных контрактов и соглашений с муниципальными образованиями Мурманской области на выполнение мероприятий государственных программ в 2015 году.</w:t>
      </w:r>
    </w:p>
    <w:p w:rsidR="00096B18" w:rsidRDefault="00096B18" w:rsidP="00096B18">
      <w:pPr>
        <w:pStyle w:val="ConsPlusCell"/>
        <w:ind w:firstLine="709"/>
        <w:jc w:val="both"/>
        <w:rPr>
          <w:rStyle w:val="FontStyle14"/>
          <w:sz w:val="28"/>
          <w:szCs w:val="28"/>
        </w:rPr>
      </w:pPr>
      <w:r w:rsidRPr="00BE108E">
        <w:rPr>
          <w:rStyle w:val="FontStyle14"/>
          <w:sz w:val="28"/>
          <w:szCs w:val="28"/>
        </w:rPr>
        <w:t xml:space="preserve">5. </w:t>
      </w:r>
      <w:r w:rsidR="00B25A9F">
        <w:rPr>
          <w:rStyle w:val="FontStyle14"/>
          <w:sz w:val="28"/>
          <w:szCs w:val="28"/>
        </w:rPr>
        <w:t>Для</w:t>
      </w:r>
      <w:r w:rsidR="00882778" w:rsidRPr="00BE108E">
        <w:rPr>
          <w:rStyle w:val="FontStyle14"/>
          <w:sz w:val="28"/>
          <w:szCs w:val="28"/>
        </w:rPr>
        <w:t xml:space="preserve"> отражения полного комплекса инфраструктурных проектов, реализуемых в рамках государственных программ</w:t>
      </w:r>
      <w:r w:rsidR="00EA37C0">
        <w:rPr>
          <w:rStyle w:val="FontStyle14"/>
          <w:sz w:val="28"/>
          <w:szCs w:val="28"/>
        </w:rPr>
        <w:t>,</w:t>
      </w:r>
      <w:r w:rsidR="00882778" w:rsidRPr="00BE108E">
        <w:rPr>
          <w:rStyle w:val="FontStyle14"/>
          <w:sz w:val="28"/>
          <w:szCs w:val="28"/>
        </w:rPr>
        <w:t xml:space="preserve"> о</w:t>
      </w:r>
      <w:r w:rsidRPr="00BE108E">
        <w:rPr>
          <w:rStyle w:val="FontStyle14"/>
          <w:sz w:val="28"/>
          <w:szCs w:val="28"/>
        </w:rPr>
        <w:t>беспечить включение в переч</w:t>
      </w:r>
      <w:r w:rsidR="00882778" w:rsidRPr="00BE108E">
        <w:rPr>
          <w:rStyle w:val="FontStyle14"/>
          <w:sz w:val="28"/>
          <w:szCs w:val="28"/>
        </w:rPr>
        <w:t>ни</w:t>
      </w:r>
      <w:r w:rsidRPr="00BE108E">
        <w:rPr>
          <w:rStyle w:val="FontStyle14"/>
          <w:sz w:val="28"/>
          <w:szCs w:val="28"/>
        </w:rPr>
        <w:t xml:space="preserve"> объектов капитального строительства все</w:t>
      </w:r>
      <w:r w:rsidR="00882778" w:rsidRPr="00BE108E">
        <w:rPr>
          <w:rStyle w:val="FontStyle14"/>
          <w:sz w:val="28"/>
          <w:szCs w:val="28"/>
        </w:rPr>
        <w:t>х</w:t>
      </w:r>
      <w:r w:rsidRPr="00BE108E">
        <w:rPr>
          <w:rStyle w:val="FontStyle14"/>
          <w:sz w:val="28"/>
          <w:szCs w:val="28"/>
        </w:rPr>
        <w:t xml:space="preserve"> мероприятий, связанных с осуществлением строительства новых объектов, реконструкции и технического перевооружения объектов, в том числе реализуемых без использования средств областного бюджета (при подтверждении намерений финансирования за счет иных источников средств), а также объектов, финансируемых за счет средств Дорожного фонда Мурманской области и за счет средств субсидии из областного бюджета бюджету г. Мурманска на осуществление функций административного центра области.</w:t>
      </w:r>
    </w:p>
    <w:p w:rsidR="00B25A9F" w:rsidRDefault="00B25A9F" w:rsidP="00096B18">
      <w:pPr>
        <w:pStyle w:val="ConsPlusCell"/>
        <w:ind w:firstLine="709"/>
        <w:jc w:val="both"/>
        <w:rPr>
          <w:rStyle w:val="FontStyle14"/>
          <w:sz w:val="28"/>
          <w:szCs w:val="28"/>
        </w:rPr>
      </w:pPr>
    </w:p>
    <w:p w:rsidR="00CB5039" w:rsidRPr="00BE108E" w:rsidRDefault="00B25A9F" w:rsidP="00B25A9F">
      <w:pPr>
        <w:pStyle w:val="ConsPlusCell"/>
        <w:ind w:firstLine="709"/>
        <w:jc w:val="both"/>
      </w:pPr>
      <w:r>
        <w:rPr>
          <w:rStyle w:val="FontStyle14"/>
          <w:sz w:val="28"/>
          <w:szCs w:val="28"/>
        </w:rPr>
        <w:t xml:space="preserve">В связи с тем, что эффективность </w:t>
      </w:r>
      <w:r>
        <w:t>г</w:t>
      </w:r>
      <w:r w:rsidRPr="00BE108E">
        <w:t>осударственн</w:t>
      </w:r>
      <w:r>
        <w:t>ой</w:t>
      </w:r>
      <w:r w:rsidRPr="00BE108E">
        <w:t xml:space="preserve"> программ</w:t>
      </w:r>
      <w:r>
        <w:t xml:space="preserve">ы </w:t>
      </w:r>
      <w:r w:rsidRPr="00BE108E">
        <w:t xml:space="preserve">«Развитие сельского хозяйства и регулирование рынков сельскохозяйственной продукции, сырья и продовольствия» </w:t>
      </w:r>
      <w:r>
        <w:t xml:space="preserve">в 2014 году признана </w:t>
      </w:r>
      <w:r w:rsidR="00F72F96">
        <w:t>низкой, р</w:t>
      </w:r>
      <w:r>
        <w:rPr>
          <w:rStyle w:val="FontStyle14"/>
          <w:sz w:val="28"/>
          <w:szCs w:val="28"/>
        </w:rPr>
        <w:t xml:space="preserve">екомендуется вынесение </w:t>
      </w:r>
      <w:r w:rsidR="00F72F96">
        <w:rPr>
          <w:rStyle w:val="FontStyle14"/>
          <w:sz w:val="28"/>
          <w:szCs w:val="28"/>
        </w:rPr>
        <w:t xml:space="preserve">отчета о ходе ее </w:t>
      </w:r>
      <w:r w:rsidR="00F72F96" w:rsidRPr="00BE108E">
        <w:t>реализации и оценке эффективности</w:t>
      </w:r>
      <w:r>
        <w:rPr>
          <w:rStyle w:val="FontStyle14"/>
          <w:sz w:val="28"/>
          <w:szCs w:val="28"/>
        </w:rPr>
        <w:t xml:space="preserve"> </w:t>
      </w:r>
      <w:r w:rsidR="00F72F96">
        <w:rPr>
          <w:rStyle w:val="FontStyle14"/>
          <w:sz w:val="28"/>
          <w:szCs w:val="28"/>
        </w:rPr>
        <w:t xml:space="preserve">на </w:t>
      </w:r>
      <w:r>
        <w:rPr>
          <w:rStyle w:val="FontStyle14"/>
          <w:sz w:val="28"/>
          <w:szCs w:val="28"/>
        </w:rPr>
        <w:t xml:space="preserve">рассмотрение </w:t>
      </w:r>
      <w:r w:rsidR="00F72F96">
        <w:rPr>
          <w:rStyle w:val="FontStyle14"/>
          <w:sz w:val="28"/>
          <w:szCs w:val="28"/>
        </w:rPr>
        <w:t>Правительства Мурманской области с целью принятия решения о дальнейшей реализации программы.</w:t>
      </w:r>
    </w:p>
    <w:sectPr w:rsidR="00CB5039" w:rsidRPr="00BE108E" w:rsidSect="00EC445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98A" w:rsidRDefault="008B498A" w:rsidP="009C670B">
      <w:r>
        <w:separator/>
      </w:r>
    </w:p>
  </w:endnote>
  <w:endnote w:type="continuationSeparator" w:id="0">
    <w:p w:rsidR="008B498A" w:rsidRDefault="008B498A" w:rsidP="009C67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n-ea">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98A" w:rsidRDefault="008B498A" w:rsidP="009C670B">
      <w:r>
        <w:separator/>
      </w:r>
    </w:p>
  </w:footnote>
  <w:footnote w:type="continuationSeparator" w:id="0">
    <w:p w:rsidR="008B498A" w:rsidRDefault="008B498A" w:rsidP="009C670B">
      <w:r>
        <w:continuationSeparator/>
      </w:r>
    </w:p>
  </w:footnote>
  <w:footnote w:id="1">
    <w:p w:rsidR="00147367" w:rsidRPr="00CB5039" w:rsidRDefault="00147367">
      <w:pPr>
        <w:pStyle w:val="a7"/>
        <w:rPr>
          <w:rFonts w:ascii="Times New Roman" w:hAnsi="Times New Roman"/>
        </w:rPr>
      </w:pPr>
      <w:r w:rsidRPr="00CB5039">
        <w:rPr>
          <w:rStyle w:val="a9"/>
          <w:rFonts w:ascii="Times New Roman" w:hAnsi="Times New Roman"/>
          <w:sz w:val="24"/>
        </w:rPr>
        <w:footnoteRef/>
      </w:r>
      <w:r>
        <w:t xml:space="preserve"> </w:t>
      </w:r>
      <w:r>
        <w:rPr>
          <w:rFonts w:ascii="Times New Roman" w:hAnsi="Times New Roman"/>
        </w:rPr>
        <w:t>Оценка</w:t>
      </w:r>
      <w:r w:rsidRPr="00CB5039">
        <w:rPr>
          <w:rFonts w:ascii="Times New Roman" w:hAnsi="Times New Roman"/>
        </w:rPr>
        <w:t xml:space="preserve"> эффективности определен</w:t>
      </w:r>
      <w:r>
        <w:rPr>
          <w:rFonts w:ascii="Times New Roman" w:hAnsi="Times New Roman"/>
        </w:rPr>
        <w:t>а</w:t>
      </w:r>
      <w:r w:rsidRPr="00CB5039">
        <w:rPr>
          <w:rFonts w:ascii="Times New Roman" w:hAnsi="Times New Roman"/>
        </w:rPr>
        <w:t xml:space="preserve"> ответственными исполнителями государственных программ в соответствии с методиками, утвержденными в соответствующих программах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4416720"/>
      <w:docPartObj>
        <w:docPartGallery w:val="Page Numbers (Top of Page)"/>
        <w:docPartUnique/>
      </w:docPartObj>
    </w:sdtPr>
    <w:sdtEndPr>
      <w:rPr>
        <w:sz w:val="20"/>
      </w:rPr>
    </w:sdtEndPr>
    <w:sdtContent>
      <w:p w:rsidR="00147367" w:rsidRPr="00CD51CC" w:rsidRDefault="00143DC5">
        <w:pPr>
          <w:pStyle w:val="af5"/>
          <w:jc w:val="center"/>
          <w:rPr>
            <w:sz w:val="20"/>
          </w:rPr>
        </w:pPr>
        <w:r w:rsidRPr="00CD51CC">
          <w:rPr>
            <w:sz w:val="20"/>
          </w:rPr>
          <w:fldChar w:fldCharType="begin"/>
        </w:r>
        <w:r w:rsidR="00147367" w:rsidRPr="00CD51CC">
          <w:rPr>
            <w:sz w:val="20"/>
          </w:rPr>
          <w:instrText>PAGE   \* MERGEFORMAT</w:instrText>
        </w:r>
        <w:r w:rsidRPr="00CD51CC">
          <w:rPr>
            <w:sz w:val="20"/>
          </w:rPr>
          <w:fldChar w:fldCharType="separate"/>
        </w:r>
        <w:r w:rsidR="00A527BE">
          <w:rPr>
            <w:noProof/>
            <w:sz w:val="20"/>
          </w:rPr>
          <w:t>76</w:t>
        </w:r>
        <w:r w:rsidRPr="00CD51CC">
          <w:rPr>
            <w:sz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B2518"/>
    <w:multiLevelType w:val="hybridMultilevel"/>
    <w:tmpl w:val="9DC4F1E8"/>
    <w:lvl w:ilvl="0" w:tplc="48EE2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1D02BCD"/>
    <w:multiLevelType w:val="hybridMultilevel"/>
    <w:tmpl w:val="4650B914"/>
    <w:lvl w:ilvl="0" w:tplc="48EE26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500584C"/>
    <w:multiLevelType w:val="hybridMultilevel"/>
    <w:tmpl w:val="3D00BCCC"/>
    <w:lvl w:ilvl="0" w:tplc="EF1A39B0">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4E9B587D"/>
    <w:multiLevelType w:val="hybridMultilevel"/>
    <w:tmpl w:val="1388B00A"/>
    <w:lvl w:ilvl="0" w:tplc="48EE2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E1F1B82"/>
    <w:multiLevelType w:val="hybridMultilevel"/>
    <w:tmpl w:val="1E0C226A"/>
    <w:lvl w:ilvl="0" w:tplc="EF1A39B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6B27F49"/>
    <w:multiLevelType w:val="hybridMultilevel"/>
    <w:tmpl w:val="E9B453BC"/>
    <w:lvl w:ilvl="0" w:tplc="EF1A39B0">
      <w:start w:val="1"/>
      <w:numFmt w:val="bullet"/>
      <w:lvlText w:val="-"/>
      <w:lvlJc w:val="left"/>
      <w:pPr>
        <w:ind w:left="1353" w:hanging="360"/>
      </w:pPr>
      <w:rPr>
        <w:rFonts w:ascii="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activeWritingStyle w:appName="MSWord" w:lang="ru-RU" w:vendorID="1" w:dllVersion="512" w:checkStyle="1"/>
  <w:proofState w:spelling="clean" w:grammar="clean"/>
  <w:defaultTabStop w:val="708"/>
  <w:characterSpacingControl w:val="doNotCompress"/>
  <w:footnotePr>
    <w:footnote w:id="-1"/>
    <w:footnote w:id="0"/>
  </w:footnotePr>
  <w:endnotePr>
    <w:endnote w:id="-1"/>
    <w:endnote w:id="0"/>
  </w:endnotePr>
  <w:compat/>
  <w:rsids>
    <w:rsidRoot w:val="009C670B"/>
    <w:rsid w:val="00006FB7"/>
    <w:rsid w:val="00026CE8"/>
    <w:rsid w:val="00040E39"/>
    <w:rsid w:val="0004405C"/>
    <w:rsid w:val="00054CE7"/>
    <w:rsid w:val="000756AB"/>
    <w:rsid w:val="00096B18"/>
    <w:rsid w:val="000D2EEA"/>
    <w:rsid w:val="000D4E20"/>
    <w:rsid w:val="000F218D"/>
    <w:rsid w:val="0010420F"/>
    <w:rsid w:val="00111A80"/>
    <w:rsid w:val="00143DC5"/>
    <w:rsid w:val="00147367"/>
    <w:rsid w:val="001606E3"/>
    <w:rsid w:val="0016619B"/>
    <w:rsid w:val="00167178"/>
    <w:rsid w:val="00187663"/>
    <w:rsid w:val="001A3812"/>
    <w:rsid w:val="001A6BB1"/>
    <w:rsid w:val="001E7185"/>
    <w:rsid w:val="00205D63"/>
    <w:rsid w:val="002105E3"/>
    <w:rsid w:val="002308BD"/>
    <w:rsid w:val="00265124"/>
    <w:rsid w:val="002802A9"/>
    <w:rsid w:val="00280567"/>
    <w:rsid w:val="002F00D1"/>
    <w:rsid w:val="002F5E64"/>
    <w:rsid w:val="002F7133"/>
    <w:rsid w:val="003020A9"/>
    <w:rsid w:val="00314E37"/>
    <w:rsid w:val="00316CE9"/>
    <w:rsid w:val="00324867"/>
    <w:rsid w:val="0038534A"/>
    <w:rsid w:val="0039379B"/>
    <w:rsid w:val="003B3A38"/>
    <w:rsid w:val="003B43FB"/>
    <w:rsid w:val="003C1DB0"/>
    <w:rsid w:val="003E2A69"/>
    <w:rsid w:val="003E6139"/>
    <w:rsid w:val="00401F05"/>
    <w:rsid w:val="004135B6"/>
    <w:rsid w:val="00441A2F"/>
    <w:rsid w:val="00457D20"/>
    <w:rsid w:val="00464DC4"/>
    <w:rsid w:val="00491D84"/>
    <w:rsid w:val="004A2E7A"/>
    <w:rsid w:val="004B2D6E"/>
    <w:rsid w:val="004B5693"/>
    <w:rsid w:val="004D3F9A"/>
    <w:rsid w:val="004F1ACD"/>
    <w:rsid w:val="005151C6"/>
    <w:rsid w:val="00547806"/>
    <w:rsid w:val="0055692C"/>
    <w:rsid w:val="0058322B"/>
    <w:rsid w:val="00597D62"/>
    <w:rsid w:val="005C5630"/>
    <w:rsid w:val="005C639B"/>
    <w:rsid w:val="005D3C25"/>
    <w:rsid w:val="00611FA3"/>
    <w:rsid w:val="006244A7"/>
    <w:rsid w:val="00630395"/>
    <w:rsid w:val="00653623"/>
    <w:rsid w:val="00681450"/>
    <w:rsid w:val="00690528"/>
    <w:rsid w:val="0069584B"/>
    <w:rsid w:val="006C28BD"/>
    <w:rsid w:val="006D088C"/>
    <w:rsid w:val="006D111C"/>
    <w:rsid w:val="006D27FE"/>
    <w:rsid w:val="006E047B"/>
    <w:rsid w:val="007213EE"/>
    <w:rsid w:val="00724D01"/>
    <w:rsid w:val="00764276"/>
    <w:rsid w:val="007719F1"/>
    <w:rsid w:val="00772BE7"/>
    <w:rsid w:val="007757A9"/>
    <w:rsid w:val="00777563"/>
    <w:rsid w:val="007A158D"/>
    <w:rsid w:val="007C6D2A"/>
    <w:rsid w:val="007D3A7A"/>
    <w:rsid w:val="007D7B7B"/>
    <w:rsid w:val="007E0E64"/>
    <w:rsid w:val="008033DB"/>
    <w:rsid w:val="008232C6"/>
    <w:rsid w:val="0083380D"/>
    <w:rsid w:val="00835829"/>
    <w:rsid w:val="00841D1A"/>
    <w:rsid w:val="00882778"/>
    <w:rsid w:val="008839C6"/>
    <w:rsid w:val="0089172F"/>
    <w:rsid w:val="00895DAB"/>
    <w:rsid w:val="00897A71"/>
    <w:rsid w:val="008A68B7"/>
    <w:rsid w:val="008B498A"/>
    <w:rsid w:val="008C5A6B"/>
    <w:rsid w:val="008E2F2E"/>
    <w:rsid w:val="008E4898"/>
    <w:rsid w:val="009249B7"/>
    <w:rsid w:val="009351C0"/>
    <w:rsid w:val="00945764"/>
    <w:rsid w:val="00987871"/>
    <w:rsid w:val="009A1912"/>
    <w:rsid w:val="009C670B"/>
    <w:rsid w:val="009C7FE5"/>
    <w:rsid w:val="00A20E1A"/>
    <w:rsid w:val="00A23755"/>
    <w:rsid w:val="00A47E58"/>
    <w:rsid w:val="00A527BE"/>
    <w:rsid w:val="00A85FBF"/>
    <w:rsid w:val="00AE272B"/>
    <w:rsid w:val="00AF5BF5"/>
    <w:rsid w:val="00B25A9F"/>
    <w:rsid w:val="00B32B02"/>
    <w:rsid w:val="00B454AE"/>
    <w:rsid w:val="00B61E01"/>
    <w:rsid w:val="00B63F0D"/>
    <w:rsid w:val="00B802D6"/>
    <w:rsid w:val="00B91DC4"/>
    <w:rsid w:val="00B93BB7"/>
    <w:rsid w:val="00BB7884"/>
    <w:rsid w:val="00BE108E"/>
    <w:rsid w:val="00BE5AE0"/>
    <w:rsid w:val="00BF2C89"/>
    <w:rsid w:val="00C13F31"/>
    <w:rsid w:val="00C84DC8"/>
    <w:rsid w:val="00C851BD"/>
    <w:rsid w:val="00C86D91"/>
    <w:rsid w:val="00C91EE2"/>
    <w:rsid w:val="00CB1F91"/>
    <w:rsid w:val="00CB4BD6"/>
    <w:rsid w:val="00CB5039"/>
    <w:rsid w:val="00CC567C"/>
    <w:rsid w:val="00CD51CC"/>
    <w:rsid w:val="00CE21B7"/>
    <w:rsid w:val="00D064E3"/>
    <w:rsid w:val="00D25B2F"/>
    <w:rsid w:val="00D46A85"/>
    <w:rsid w:val="00D77393"/>
    <w:rsid w:val="00D8188F"/>
    <w:rsid w:val="00DA522B"/>
    <w:rsid w:val="00DC19D7"/>
    <w:rsid w:val="00DC5B96"/>
    <w:rsid w:val="00DD1B63"/>
    <w:rsid w:val="00DD31DF"/>
    <w:rsid w:val="00DD5FDA"/>
    <w:rsid w:val="00DE4841"/>
    <w:rsid w:val="00DF5AED"/>
    <w:rsid w:val="00E0226B"/>
    <w:rsid w:val="00E0508A"/>
    <w:rsid w:val="00E13D10"/>
    <w:rsid w:val="00E513B3"/>
    <w:rsid w:val="00E53558"/>
    <w:rsid w:val="00E56D6F"/>
    <w:rsid w:val="00E8484C"/>
    <w:rsid w:val="00E87B70"/>
    <w:rsid w:val="00E971DB"/>
    <w:rsid w:val="00EA37C0"/>
    <w:rsid w:val="00EC4455"/>
    <w:rsid w:val="00EE537D"/>
    <w:rsid w:val="00EF64DF"/>
    <w:rsid w:val="00F05B92"/>
    <w:rsid w:val="00F0651A"/>
    <w:rsid w:val="00F125FF"/>
    <w:rsid w:val="00F60A8B"/>
    <w:rsid w:val="00F611D2"/>
    <w:rsid w:val="00F72F96"/>
    <w:rsid w:val="00F74876"/>
    <w:rsid w:val="00F86BFD"/>
    <w:rsid w:val="00FB55D1"/>
    <w:rsid w:val="00FB5C0B"/>
    <w:rsid w:val="00FC31D4"/>
    <w:rsid w:val="00FC54E8"/>
    <w:rsid w:val="00FE6404"/>
    <w:rsid w:val="00FF4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Самый обычный"/>
    <w:qFormat/>
    <w:rsid w:val="00FF4E43"/>
    <w:pPr>
      <w:spacing w:after="0" w:line="240" w:lineRule="auto"/>
      <w:ind w:firstLine="709"/>
      <w:jc w:val="both"/>
    </w:pPr>
    <w:rPr>
      <w:rFonts w:ascii="Times New Roman" w:eastAsiaTheme="minorEastAsia" w:hAnsi="Times New Roman"/>
      <w:sz w:val="28"/>
      <w:lang w:eastAsia="ru-RU"/>
    </w:rPr>
  </w:style>
  <w:style w:type="paragraph" w:styleId="1">
    <w:name w:val="heading 1"/>
    <w:aliases w:val="Заголовок 111111"/>
    <w:basedOn w:val="a"/>
    <w:next w:val="a"/>
    <w:link w:val="10"/>
    <w:autoRedefine/>
    <w:uiPriority w:val="9"/>
    <w:qFormat/>
    <w:rsid w:val="00B93BB7"/>
    <w:pPr>
      <w:keepNext/>
      <w:keepLines/>
      <w:ind w:firstLine="0"/>
      <w:jc w:val="center"/>
      <w:outlineLvl w:val="0"/>
    </w:pPr>
    <w:rPr>
      <w:rFonts w:eastAsiaTheme="majorEastAsia" w:cstheme="majorBidi"/>
      <w:b/>
      <w:bCs/>
      <w:szCs w:val="28"/>
    </w:rPr>
  </w:style>
  <w:style w:type="paragraph" w:styleId="3">
    <w:name w:val="heading 3"/>
    <w:basedOn w:val="a"/>
    <w:next w:val="a"/>
    <w:link w:val="30"/>
    <w:uiPriority w:val="9"/>
    <w:semiHidden/>
    <w:unhideWhenUsed/>
    <w:qFormat/>
    <w:rsid w:val="00FF4E4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3">
    <w:name w:val="Основной текст (33)_"/>
    <w:basedOn w:val="a0"/>
    <w:link w:val="330"/>
    <w:rsid w:val="009C670B"/>
    <w:rPr>
      <w:b/>
      <w:bCs/>
      <w:sz w:val="26"/>
      <w:szCs w:val="26"/>
      <w:shd w:val="clear" w:color="auto" w:fill="FFFFFF"/>
    </w:rPr>
  </w:style>
  <w:style w:type="paragraph" w:customStyle="1" w:styleId="330">
    <w:name w:val="Основной текст (33)"/>
    <w:basedOn w:val="a"/>
    <w:link w:val="33"/>
    <w:rsid w:val="009C670B"/>
    <w:pPr>
      <w:shd w:val="clear" w:color="auto" w:fill="FFFFFF"/>
      <w:spacing w:before="240" w:after="240" w:line="336" w:lineRule="exact"/>
    </w:pPr>
    <w:rPr>
      <w:rFonts w:eastAsiaTheme="minorHAnsi"/>
      <w:b/>
      <w:bCs/>
      <w:sz w:val="26"/>
      <w:szCs w:val="26"/>
      <w:lang w:eastAsia="en-US"/>
    </w:rPr>
  </w:style>
  <w:style w:type="paragraph" w:styleId="a3">
    <w:name w:val="Balloon Text"/>
    <w:basedOn w:val="a"/>
    <w:link w:val="a4"/>
    <w:uiPriority w:val="99"/>
    <w:semiHidden/>
    <w:unhideWhenUsed/>
    <w:rsid w:val="009C670B"/>
    <w:rPr>
      <w:rFonts w:ascii="Tahoma" w:hAnsi="Tahoma" w:cs="Tahoma"/>
      <w:sz w:val="16"/>
      <w:szCs w:val="16"/>
    </w:rPr>
  </w:style>
  <w:style w:type="character" w:customStyle="1" w:styleId="a4">
    <w:name w:val="Текст выноски Знак"/>
    <w:basedOn w:val="a0"/>
    <w:link w:val="a3"/>
    <w:uiPriority w:val="99"/>
    <w:semiHidden/>
    <w:rsid w:val="009C670B"/>
    <w:rPr>
      <w:rFonts w:ascii="Tahoma" w:eastAsiaTheme="minorEastAsia" w:hAnsi="Tahoma" w:cs="Tahoma"/>
      <w:sz w:val="16"/>
      <w:szCs w:val="16"/>
      <w:lang w:eastAsia="ru-RU"/>
    </w:rPr>
  </w:style>
  <w:style w:type="paragraph" w:styleId="a5">
    <w:name w:val="List Paragraph"/>
    <w:basedOn w:val="a"/>
    <w:link w:val="a6"/>
    <w:uiPriority w:val="99"/>
    <w:qFormat/>
    <w:rsid w:val="009C670B"/>
    <w:pPr>
      <w:ind w:left="720"/>
      <w:contextualSpacing/>
    </w:pPr>
    <w:rPr>
      <w:rFonts w:ascii="Calibri" w:eastAsia="Calibri" w:hAnsi="Calibri" w:cs="Times New Roman"/>
      <w:lang w:eastAsia="en-US"/>
    </w:rPr>
  </w:style>
  <w:style w:type="paragraph" w:styleId="a7">
    <w:name w:val="footnote text"/>
    <w:basedOn w:val="a"/>
    <w:link w:val="a8"/>
    <w:uiPriority w:val="99"/>
    <w:semiHidden/>
    <w:unhideWhenUsed/>
    <w:rsid w:val="009C670B"/>
    <w:rPr>
      <w:rFonts w:ascii="Calibri" w:eastAsia="Calibri" w:hAnsi="Calibri" w:cs="Times New Roman"/>
      <w:sz w:val="20"/>
      <w:szCs w:val="20"/>
      <w:lang w:eastAsia="en-US"/>
    </w:rPr>
  </w:style>
  <w:style w:type="character" w:customStyle="1" w:styleId="a8">
    <w:name w:val="Текст сноски Знак"/>
    <w:basedOn w:val="a0"/>
    <w:link w:val="a7"/>
    <w:uiPriority w:val="99"/>
    <w:semiHidden/>
    <w:rsid w:val="009C670B"/>
    <w:rPr>
      <w:rFonts w:ascii="Calibri" w:eastAsia="Calibri" w:hAnsi="Calibri" w:cs="Times New Roman"/>
      <w:sz w:val="20"/>
      <w:szCs w:val="20"/>
    </w:rPr>
  </w:style>
  <w:style w:type="character" w:styleId="a9">
    <w:name w:val="footnote reference"/>
    <w:basedOn w:val="a0"/>
    <w:uiPriority w:val="99"/>
    <w:semiHidden/>
    <w:unhideWhenUsed/>
    <w:rsid w:val="009C670B"/>
    <w:rPr>
      <w:vertAlign w:val="superscript"/>
    </w:rPr>
  </w:style>
  <w:style w:type="paragraph" w:customStyle="1" w:styleId="ConsPlusCell">
    <w:name w:val="ConsPlusCell"/>
    <w:uiPriority w:val="99"/>
    <w:rsid w:val="00897A71"/>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FontStyle14">
    <w:name w:val="Font Style14"/>
    <w:basedOn w:val="a0"/>
    <w:uiPriority w:val="99"/>
    <w:rsid w:val="00897A71"/>
    <w:rPr>
      <w:rFonts w:ascii="Times New Roman" w:hAnsi="Times New Roman" w:cs="Times New Roman" w:hint="default"/>
      <w:sz w:val="24"/>
      <w:szCs w:val="24"/>
    </w:rPr>
  </w:style>
  <w:style w:type="character" w:customStyle="1" w:styleId="10">
    <w:name w:val="Заголовок 1 Знак"/>
    <w:aliases w:val="Заголовок 111111 Знак"/>
    <w:basedOn w:val="a0"/>
    <w:link w:val="1"/>
    <w:uiPriority w:val="9"/>
    <w:rsid w:val="00B93BB7"/>
    <w:rPr>
      <w:rFonts w:ascii="Times New Roman" w:eastAsiaTheme="majorEastAsia" w:hAnsi="Times New Roman" w:cstheme="majorBidi"/>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1"/>
    <w:basedOn w:val="a"/>
    <w:link w:val="2"/>
    <w:rsid w:val="00FF4E43"/>
    <w:pPr>
      <w:spacing w:before="100" w:beforeAutospacing="1" w:after="100" w:afterAutospacing="1"/>
    </w:pPr>
    <w:rPr>
      <w:rFonts w:eastAsia="Times New Roman" w:cs="Times New Roman"/>
      <w:sz w:val="24"/>
      <w:szCs w:val="24"/>
      <w:lang/>
    </w:rPr>
  </w:style>
  <w:style w:type="character" w:styleId="ab">
    <w:name w:val="Strong"/>
    <w:qFormat/>
    <w:rsid w:val="00FF4E43"/>
    <w:rPr>
      <w:b/>
      <w:bCs/>
    </w:rPr>
  </w:style>
  <w:style w:type="character" w:customStyle="1" w:styleId="c1">
    <w:name w:val="c1"/>
    <w:uiPriority w:val="99"/>
    <w:rsid w:val="00FF4E43"/>
    <w:rPr>
      <w:rFonts w:cs="Times New Roman"/>
    </w:rPr>
  </w:style>
  <w:style w:type="character" w:customStyle="1" w:styleId="default005f005fchar1char1">
    <w:name w:val="default_005f_005fchar1__char1"/>
    <w:rsid w:val="00FF4E43"/>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FF4E43"/>
    <w:pPr>
      <w:spacing w:before="100" w:beforeAutospacing="1" w:after="100" w:afterAutospacing="1"/>
    </w:pPr>
    <w:rPr>
      <w:rFonts w:eastAsia="Times New Roman" w:cs="Times New Roman"/>
      <w:sz w:val="24"/>
      <w:szCs w:val="24"/>
    </w:rPr>
  </w:style>
  <w:style w:type="character" w:customStyle="1" w:styleId="text">
    <w:name w:val="text"/>
    <w:rsid w:val="00FF4E43"/>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a"/>
    <w:uiPriority w:val="99"/>
    <w:locked/>
    <w:rsid w:val="00FF4E43"/>
    <w:rPr>
      <w:rFonts w:ascii="Times New Roman" w:eastAsia="Times New Roman" w:hAnsi="Times New Roman" w:cs="Times New Roman"/>
      <w:sz w:val="24"/>
      <w:szCs w:val="24"/>
      <w:lang/>
    </w:rPr>
  </w:style>
  <w:style w:type="paragraph" w:customStyle="1" w:styleId="Default">
    <w:name w:val="Default"/>
    <w:rsid w:val="00FF4E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0">
    <w:name w:val="Заголовок 3 Знак"/>
    <w:basedOn w:val="a0"/>
    <w:link w:val="3"/>
    <w:uiPriority w:val="9"/>
    <w:semiHidden/>
    <w:rsid w:val="00FF4E43"/>
    <w:rPr>
      <w:rFonts w:asciiTheme="majorHAnsi" w:eastAsiaTheme="majorEastAsia" w:hAnsiTheme="majorHAnsi" w:cstheme="majorBidi"/>
      <w:b/>
      <w:bCs/>
      <w:color w:val="4F81BD" w:themeColor="accent1"/>
      <w:lang w:eastAsia="ru-RU"/>
    </w:rPr>
  </w:style>
  <w:style w:type="paragraph" w:styleId="ac">
    <w:name w:val="Body Text"/>
    <w:basedOn w:val="a"/>
    <w:link w:val="ad"/>
    <w:uiPriority w:val="99"/>
    <w:unhideWhenUsed/>
    <w:rsid w:val="00FF4E43"/>
    <w:pPr>
      <w:spacing w:after="120"/>
    </w:pPr>
    <w:rPr>
      <w:rFonts w:eastAsia="Times New Roman" w:cs="Times New Roman"/>
      <w:sz w:val="24"/>
      <w:szCs w:val="24"/>
      <w:lang/>
    </w:rPr>
  </w:style>
  <w:style w:type="character" w:customStyle="1" w:styleId="ad">
    <w:name w:val="Основной текст Знак"/>
    <w:basedOn w:val="a0"/>
    <w:link w:val="ac"/>
    <w:uiPriority w:val="99"/>
    <w:rsid w:val="00FF4E43"/>
    <w:rPr>
      <w:rFonts w:ascii="Times New Roman" w:eastAsia="Times New Roman" w:hAnsi="Times New Roman" w:cs="Times New Roman"/>
      <w:sz w:val="24"/>
      <w:szCs w:val="24"/>
      <w:lang w:eastAsia="ru-RU"/>
    </w:rPr>
  </w:style>
  <w:style w:type="paragraph" w:styleId="ae">
    <w:name w:val="annotation text"/>
    <w:basedOn w:val="a"/>
    <w:link w:val="af"/>
    <w:uiPriority w:val="99"/>
    <w:semiHidden/>
    <w:unhideWhenUsed/>
    <w:rsid w:val="00FF4E43"/>
    <w:rPr>
      <w:rFonts w:eastAsia="Times New Roman" w:cs="Times New Roman"/>
      <w:sz w:val="20"/>
      <w:szCs w:val="20"/>
      <w:lang/>
    </w:rPr>
  </w:style>
  <w:style w:type="character" w:customStyle="1" w:styleId="af">
    <w:name w:val="Текст примечания Знак"/>
    <w:basedOn w:val="a0"/>
    <w:link w:val="ae"/>
    <w:uiPriority w:val="99"/>
    <w:semiHidden/>
    <w:rsid w:val="00FF4E43"/>
    <w:rPr>
      <w:rFonts w:ascii="Times New Roman" w:eastAsia="Times New Roman" w:hAnsi="Times New Roman" w:cs="Times New Roman"/>
      <w:sz w:val="20"/>
      <w:szCs w:val="20"/>
      <w:lang w:eastAsia="ru-RU"/>
    </w:rPr>
  </w:style>
  <w:style w:type="character" w:customStyle="1" w:styleId="a6">
    <w:name w:val="Абзац списка Знак"/>
    <w:link w:val="a5"/>
    <w:uiPriority w:val="99"/>
    <w:rsid w:val="00FF4E43"/>
    <w:rPr>
      <w:rFonts w:ascii="Calibri" w:eastAsia="Calibri" w:hAnsi="Calibri" w:cs="Times New Roman"/>
    </w:rPr>
  </w:style>
  <w:style w:type="paragraph" w:customStyle="1" w:styleId="Textbody">
    <w:name w:val="Text body"/>
    <w:basedOn w:val="a"/>
    <w:rsid w:val="00FF4E43"/>
    <w:pPr>
      <w:widowControl w:val="0"/>
      <w:tabs>
        <w:tab w:val="left" w:pos="708"/>
      </w:tabs>
      <w:suppressAutoHyphens/>
      <w:autoSpaceDN w:val="0"/>
      <w:spacing w:after="120" w:line="100" w:lineRule="atLeast"/>
      <w:ind w:firstLine="0"/>
      <w:jc w:val="left"/>
      <w:textAlignment w:val="baseline"/>
    </w:pPr>
    <w:rPr>
      <w:rFonts w:eastAsia="SimSun" w:cs="Mangal"/>
      <w:color w:val="00000A"/>
      <w:kern w:val="3"/>
      <w:sz w:val="24"/>
      <w:szCs w:val="24"/>
      <w:lang w:eastAsia="zh-CN" w:bidi="hi-IN"/>
    </w:rPr>
  </w:style>
  <w:style w:type="paragraph" w:customStyle="1" w:styleId="ConsPlusNonformat">
    <w:name w:val="ConsPlusNonformat"/>
    <w:uiPriority w:val="99"/>
    <w:rsid w:val="00B93BB7"/>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rmal">
    <w:name w:val="ConsPlusNormal"/>
    <w:link w:val="ConsPlusNormal0"/>
    <w:rsid w:val="00B93B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No Spacing"/>
    <w:link w:val="af1"/>
    <w:uiPriority w:val="1"/>
    <w:qFormat/>
    <w:rsid w:val="00CB5039"/>
    <w:pPr>
      <w:spacing w:after="0" w:line="240" w:lineRule="auto"/>
    </w:pPr>
    <w:rPr>
      <w:rFonts w:ascii="Times New Roman" w:eastAsia="Calibri" w:hAnsi="Times New Roman" w:cs="Times New Roman"/>
      <w:sz w:val="24"/>
      <w:szCs w:val="16"/>
    </w:rPr>
  </w:style>
  <w:style w:type="character" w:customStyle="1" w:styleId="af1">
    <w:name w:val="Без интервала Знак"/>
    <w:basedOn w:val="a0"/>
    <w:link w:val="af0"/>
    <w:uiPriority w:val="1"/>
    <w:rsid w:val="00CB5039"/>
    <w:rPr>
      <w:rFonts w:ascii="Times New Roman" w:eastAsia="Calibri" w:hAnsi="Times New Roman" w:cs="Times New Roman"/>
      <w:sz w:val="24"/>
      <w:szCs w:val="16"/>
    </w:rPr>
  </w:style>
  <w:style w:type="paragraph" w:styleId="af2">
    <w:name w:val="Body Text Indent"/>
    <w:basedOn w:val="a"/>
    <w:link w:val="af3"/>
    <w:uiPriority w:val="99"/>
    <w:semiHidden/>
    <w:unhideWhenUsed/>
    <w:rsid w:val="004F1ACD"/>
    <w:pPr>
      <w:spacing w:after="120"/>
      <w:ind w:left="283"/>
    </w:pPr>
  </w:style>
  <w:style w:type="character" w:customStyle="1" w:styleId="af3">
    <w:name w:val="Основной текст с отступом Знак"/>
    <w:basedOn w:val="a0"/>
    <w:link w:val="af2"/>
    <w:uiPriority w:val="99"/>
    <w:semiHidden/>
    <w:rsid w:val="004F1ACD"/>
    <w:rPr>
      <w:rFonts w:ascii="Times New Roman" w:eastAsiaTheme="minorEastAsia" w:hAnsi="Times New Roman"/>
      <w:sz w:val="28"/>
      <w:lang w:eastAsia="ru-RU"/>
    </w:rPr>
  </w:style>
  <w:style w:type="character" w:customStyle="1" w:styleId="ConsPlusNormal0">
    <w:name w:val="ConsPlusNormal Знак"/>
    <w:link w:val="ConsPlusNormal"/>
    <w:rsid w:val="004F1ACD"/>
    <w:rPr>
      <w:rFonts w:ascii="Arial" w:eastAsia="Times New Roman" w:hAnsi="Arial" w:cs="Arial"/>
      <w:sz w:val="20"/>
      <w:szCs w:val="20"/>
      <w:lang w:eastAsia="ru-RU"/>
    </w:rPr>
  </w:style>
  <w:style w:type="paragraph" w:customStyle="1" w:styleId="ConsNonformat">
    <w:name w:val="ConsNonformat"/>
    <w:rsid w:val="00DA522B"/>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FontStyle21">
    <w:name w:val="Font Style21"/>
    <w:uiPriority w:val="99"/>
    <w:rsid w:val="00DA522B"/>
    <w:rPr>
      <w:rFonts w:ascii="Times New Roman" w:hAnsi="Times New Roman" w:cs="Times New Roman"/>
      <w:sz w:val="26"/>
      <w:szCs w:val="26"/>
    </w:rPr>
  </w:style>
  <w:style w:type="paragraph" w:styleId="31">
    <w:name w:val="Body Text Indent 3"/>
    <w:basedOn w:val="a"/>
    <w:link w:val="32"/>
    <w:uiPriority w:val="99"/>
    <w:semiHidden/>
    <w:unhideWhenUsed/>
    <w:rsid w:val="0083380D"/>
    <w:pPr>
      <w:spacing w:after="120"/>
      <w:ind w:left="283"/>
    </w:pPr>
    <w:rPr>
      <w:sz w:val="16"/>
      <w:szCs w:val="16"/>
    </w:rPr>
  </w:style>
  <w:style w:type="character" w:customStyle="1" w:styleId="32">
    <w:name w:val="Основной текст с отступом 3 Знак"/>
    <w:basedOn w:val="a0"/>
    <w:link w:val="31"/>
    <w:uiPriority w:val="99"/>
    <w:semiHidden/>
    <w:rsid w:val="0083380D"/>
    <w:rPr>
      <w:rFonts w:ascii="Times New Roman" w:eastAsiaTheme="minorEastAsia" w:hAnsi="Times New Roman"/>
      <w:sz w:val="16"/>
      <w:szCs w:val="16"/>
      <w:lang w:eastAsia="ru-RU"/>
    </w:rPr>
  </w:style>
  <w:style w:type="table" w:styleId="af4">
    <w:name w:val="Table Grid"/>
    <w:basedOn w:val="a1"/>
    <w:uiPriority w:val="59"/>
    <w:rsid w:val="008338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basedOn w:val="a"/>
    <w:link w:val="af6"/>
    <w:uiPriority w:val="99"/>
    <w:unhideWhenUsed/>
    <w:rsid w:val="00CD51CC"/>
    <w:pPr>
      <w:tabs>
        <w:tab w:val="center" w:pos="4677"/>
        <w:tab w:val="right" w:pos="9355"/>
      </w:tabs>
    </w:pPr>
  </w:style>
  <w:style w:type="character" w:customStyle="1" w:styleId="af6">
    <w:name w:val="Верхний колонтитул Знак"/>
    <w:basedOn w:val="a0"/>
    <w:link w:val="af5"/>
    <w:uiPriority w:val="99"/>
    <w:rsid w:val="00CD51CC"/>
    <w:rPr>
      <w:rFonts w:ascii="Times New Roman" w:eastAsiaTheme="minorEastAsia" w:hAnsi="Times New Roman"/>
      <w:sz w:val="28"/>
      <w:lang w:eastAsia="ru-RU"/>
    </w:rPr>
  </w:style>
  <w:style w:type="paragraph" w:styleId="af7">
    <w:name w:val="footer"/>
    <w:basedOn w:val="a"/>
    <w:link w:val="af8"/>
    <w:uiPriority w:val="99"/>
    <w:unhideWhenUsed/>
    <w:rsid w:val="00CD51CC"/>
    <w:pPr>
      <w:tabs>
        <w:tab w:val="center" w:pos="4677"/>
        <w:tab w:val="right" w:pos="9355"/>
      </w:tabs>
    </w:pPr>
  </w:style>
  <w:style w:type="character" w:customStyle="1" w:styleId="af8">
    <w:name w:val="Нижний колонтитул Знак"/>
    <w:basedOn w:val="a0"/>
    <w:link w:val="af7"/>
    <w:uiPriority w:val="99"/>
    <w:rsid w:val="00CD51CC"/>
    <w:rPr>
      <w:rFonts w:ascii="Times New Roman" w:eastAsiaTheme="minorEastAsia" w:hAnsi="Times New Roman"/>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Самый обычный"/>
    <w:qFormat/>
    <w:rsid w:val="00FF4E43"/>
    <w:pPr>
      <w:spacing w:after="0" w:line="240" w:lineRule="auto"/>
      <w:ind w:firstLine="709"/>
      <w:jc w:val="both"/>
    </w:pPr>
    <w:rPr>
      <w:rFonts w:ascii="Times New Roman" w:eastAsiaTheme="minorEastAsia" w:hAnsi="Times New Roman"/>
      <w:sz w:val="28"/>
      <w:lang w:eastAsia="ru-RU"/>
    </w:rPr>
  </w:style>
  <w:style w:type="paragraph" w:styleId="1">
    <w:name w:val="heading 1"/>
    <w:aliases w:val="Заголовок 111111"/>
    <w:basedOn w:val="a"/>
    <w:next w:val="a"/>
    <w:link w:val="10"/>
    <w:autoRedefine/>
    <w:uiPriority w:val="9"/>
    <w:qFormat/>
    <w:rsid w:val="00B93BB7"/>
    <w:pPr>
      <w:keepNext/>
      <w:keepLines/>
      <w:ind w:firstLine="0"/>
      <w:jc w:val="center"/>
      <w:outlineLvl w:val="0"/>
    </w:pPr>
    <w:rPr>
      <w:rFonts w:eastAsiaTheme="majorEastAsia" w:cstheme="majorBidi"/>
      <w:b/>
      <w:bCs/>
      <w:szCs w:val="28"/>
    </w:rPr>
  </w:style>
  <w:style w:type="paragraph" w:styleId="3">
    <w:name w:val="heading 3"/>
    <w:basedOn w:val="a"/>
    <w:next w:val="a"/>
    <w:link w:val="30"/>
    <w:uiPriority w:val="9"/>
    <w:semiHidden/>
    <w:unhideWhenUsed/>
    <w:qFormat/>
    <w:rsid w:val="00FF4E4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3">
    <w:name w:val="Основной текст (33)_"/>
    <w:basedOn w:val="a0"/>
    <w:link w:val="330"/>
    <w:rsid w:val="009C670B"/>
    <w:rPr>
      <w:b/>
      <w:bCs/>
      <w:sz w:val="26"/>
      <w:szCs w:val="26"/>
      <w:shd w:val="clear" w:color="auto" w:fill="FFFFFF"/>
    </w:rPr>
  </w:style>
  <w:style w:type="paragraph" w:customStyle="1" w:styleId="330">
    <w:name w:val="Основной текст (33)"/>
    <w:basedOn w:val="a"/>
    <w:link w:val="33"/>
    <w:rsid w:val="009C670B"/>
    <w:pPr>
      <w:shd w:val="clear" w:color="auto" w:fill="FFFFFF"/>
      <w:spacing w:before="240" w:after="240" w:line="336" w:lineRule="exact"/>
    </w:pPr>
    <w:rPr>
      <w:rFonts w:eastAsiaTheme="minorHAnsi"/>
      <w:b/>
      <w:bCs/>
      <w:sz w:val="26"/>
      <w:szCs w:val="26"/>
      <w:lang w:eastAsia="en-US"/>
    </w:rPr>
  </w:style>
  <w:style w:type="paragraph" w:styleId="a3">
    <w:name w:val="Balloon Text"/>
    <w:basedOn w:val="a"/>
    <w:link w:val="a4"/>
    <w:uiPriority w:val="99"/>
    <w:semiHidden/>
    <w:unhideWhenUsed/>
    <w:rsid w:val="009C670B"/>
    <w:rPr>
      <w:rFonts w:ascii="Tahoma" w:hAnsi="Tahoma" w:cs="Tahoma"/>
      <w:sz w:val="16"/>
      <w:szCs w:val="16"/>
    </w:rPr>
  </w:style>
  <w:style w:type="character" w:customStyle="1" w:styleId="a4">
    <w:name w:val="Текст выноски Знак"/>
    <w:basedOn w:val="a0"/>
    <w:link w:val="a3"/>
    <w:uiPriority w:val="99"/>
    <w:semiHidden/>
    <w:rsid w:val="009C670B"/>
    <w:rPr>
      <w:rFonts w:ascii="Tahoma" w:eastAsiaTheme="minorEastAsia" w:hAnsi="Tahoma" w:cs="Tahoma"/>
      <w:sz w:val="16"/>
      <w:szCs w:val="16"/>
      <w:lang w:eastAsia="ru-RU"/>
    </w:rPr>
  </w:style>
  <w:style w:type="paragraph" w:styleId="a5">
    <w:name w:val="List Paragraph"/>
    <w:basedOn w:val="a"/>
    <w:link w:val="a6"/>
    <w:uiPriority w:val="99"/>
    <w:qFormat/>
    <w:rsid w:val="009C670B"/>
    <w:pPr>
      <w:ind w:left="720"/>
      <w:contextualSpacing/>
    </w:pPr>
    <w:rPr>
      <w:rFonts w:ascii="Calibri" w:eastAsia="Calibri" w:hAnsi="Calibri" w:cs="Times New Roman"/>
      <w:lang w:eastAsia="en-US"/>
    </w:rPr>
  </w:style>
  <w:style w:type="paragraph" w:styleId="a7">
    <w:name w:val="footnote text"/>
    <w:basedOn w:val="a"/>
    <w:link w:val="a8"/>
    <w:uiPriority w:val="99"/>
    <w:semiHidden/>
    <w:unhideWhenUsed/>
    <w:rsid w:val="009C670B"/>
    <w:rPr>
      <w:rFonts w:ascii="Calibri" w:eastAsia="Calibri" w:hAnsi="Calibri" w:cs="Times New Roman"/>
      <w:sz w:val="20"/>
      <w:szCs w:val="20"/>
      <w:lang w:eastAsia="en-US"/>
    </w:rPr>
  </w:style>
  <w:style w:type="character" w:customStyle="1" w:styleId="a8">
    <w:name w:val="Текст сноски Знак"/>
    <w:basedOn w:val="a0"/>
    <w:link w:val="a7"/>
    <w:uiPriority w:val="99"/>
    <w:semiHidden/>
    <w:rsid w:val="009C670B"/>
    <w:rPr>
      <w:rFonts w:ascii="Calibri" w:eastAsia="Calibri" w:hAnsi="Calibri" w:cs="Times New Roman"/>
      <w:sz w:val="20"/>
      <w:szCs w:val="20"/>
    </w:rPr>
  </w:style>
  <w:style w:type="character" w:styleId="a9">
    <w:name w:val="footnote reference"/>
    <w:basedOn w:val="a0"/>
    <w:uiPriority w:val="99"/>
    <w:semiHidden/>
    <w:unhideWhenUsed/>
    <w:rsid w:val="009C670B"/>
    <w:rPr>
      <w:vertAlign w:val="superscript"/>
    </w:rPr>
  </w:style>
  <w:style w:type="paragraph" w:customStyle="1" w:styleId="ConsPlusCell">
    <w:name w:val="ConsPlusCell"/>
    <w:uiPriority w:val="99"/>
    <w:rsid w:val="00897A71"/>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FontStyle14">
    <w:name w:val="Font Style14"/>
    <w:basedOn w:val="a0"/>
    <w:uiPriority w:val="99"/>
    <w:rsid w:val="00897A71"/>
    <w:rPr>
      <w:rFonts w:ascii="Times New Roman" w:hAnsi="Times New Roman" w:cs="Times New Roman" w:hint="default"/>
      <w:sz w:val="24"/>
      <w:szCs w:val="24"/>
    </w:rPr>
  </w:style>
  <w:style w:type="character" w:customStyle="1" w:styleId="10">
    <w:name w:val="Заголовок 1 Знак"/>
    <w:aliases w:val="Заголовок 111111 Знак"/>
    <w:basedOn w:val="a0"/>
    <w:link w:val="1"/>
    <w:uiPriority w:val="9"/>
    <w:rsid w:val="00B93BB7"/>
    <w:rPr>
      <w:rFonts w:ascii="Times New Roman" w:eastAsiaTheme="majorEastAsia" w:hAnsi="Times New Roman" w:cstheme="majorBidi"/>
      <w:b/>
      <w:bCs/>
      <w:sz w:val="28"/>
      <w:szCs w:val="28"/>
      <w:lang w:eastAsia="ru-RU"/>
    </w:rPr>
  </w:style>
  <w:style w:type="paragraph" w:styleId="aa">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1"/>
    <w:basedOn w:val="a"/>
    <w:link w:val="2"/>
    <w:rsid w:val="00FF4E43"/>
    <w:pPr>
      <w:spacing w:before="100" w:beforeAutospacing="1" w:after="100" w:afterAutospacing="1"/>
    </w:pPr>
    <w:rPr>
      <w:rFonts w:eastAsia="Times New Roman" w:cs="Times New Roman"/>
      <w:sz w:val="24"/>
      <w:szCs w:val="24"/>
      <w:lang w:val="x-none" w:eastAsia="x-none"/>
    </w:rPr>
  </w:style>
  <w:style w:type="character" w:styleId="ab">
    <w:name w:val="Strong"/>
    <w:qFormat/>
    <w:rsid w:val="00FF4E43"/>
    <w:rPr>
      <w:b/>
      <w:bCs/>
    </w:rPr>
  </w:style>
  <w:style w:type="character" w:customStyle="1" w:styleId="c1">
    <w:name w:val="c1"/>
    <w:uiPriority w:val="99"/>
    <w:rsid w:val="00FF4E43"/>
    <w:rPr>
      <w:rFonts w:cs="Times New Roman"/>
    </w:rPr>
  </w:style>
  <w:style w:type="character" w:customStyle="1" w:styleId="default005f005fchar1char1">
    <w:name w:val="default_005f_005fchar1__char1"/>
    <w:rsid w:val="00FF4E43"/>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FF4E43"/>
    <w:pPr>
      <w:spacing w:before="100" w:beforeAutospacing="1" w:after="100" w:afterAutospacing="1"/>
    </w:pPr>
    <w:rPr>
      <w:rFonts w:eastAsia="Times New Roman" w:cs="Times New Roman"/>
      <w:sz w:val="24"/>
      <w:szCs w:val="24"/>
    </w:rPr>
  </w:style>
  <w:style w:type="character" w:customStyle="1" w:styleId="text">
    <w:name w:val="text"/>
    <w:rsid w:val="00FF4E43"/>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a"/>
    <w:uiPriority w:val="99"/>
    <w:locked/>
    <w:rsid w:val="00FF4E43"/>
    <w:rPr>
      <w:rFonts w:ascii="Times New Roman" w:eastAsia="Times New Roman" w:hAnsi="Times New Roman" w:cs="Times New Roman"/>
      <w:sz w:val="24"/>
      <w:szCs w:val="24"/>
      <w:lang w:val="x-none" w:eastAsia="x-none"/>
    </w:rPr>
  </w:style>
  <w:style w:type="paragraph" w:customStyle="1" w:styleId="Default">
    <w:name w:val="Default"/>
    <w:rsid w:val="00FF4E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0">
    <w:name w:val="Заголовок 3 Знак"/>
    <w:basedOn w:val="a0"/>
    <w:link w:val="3"/>
    <w:uiPriority w:val="9"/>
    <w:semiHidden/>
    <w:rsid w:val="00FF4E43"/>
    <w:rPr>
      <w:rFonts w:asciiTheme="majorHAnsi" w:eastAsiaTheme="majorEastAsia" w:hAnsiTheme="majorHAnsi" w:cstheme="majorBidi"/>
      <w:b/>
      <w:bCs/>
      <w:color w:val="4F81BD" w:themeColor="accent1"/>
      <w:lang w:eastAsia="ru-RU"/>
    </w:rPr>
  </w:style>
  <w:style w:type="paragraph" w:styleId="ac">
    <w:name w:val="Body Text"/>
    <w:basedOn w:val="a"/>
    <w:link w:val="ad"/>
    <w:uiPriority w:val="99"/>
    <w:unhideWhenUsed/>
    <w:rsid w:val="00FF4E43"/>
    <w:pPr>
      <w:spacing w:after="120"/>
    </w:pPr>
    <w:rPr>
      <w:rFonts w:eastAsia="Times New Roman" w:cs="Times New Roman"/>
      <w:sz w:val="24"/>
      <w:szCs w:val="24"/>
      <w:lang w:val="x-none"/>
    </w:rPr>
  </w:style>
  <w:style w:type="character" w:customStyle="1" w:styleId="ad">
    <w:name w:val="Основной текст Знак"/>
    <w:basedOn w:val="a0"/>
    <w:link w:val="ac"/>
    <w:uiPriority w:val="99"/>
    <w:rsid w:val="00FF4E43"/>
    <w:rPr>
      <w:rFonts w:ascii="Times New Roman" w:eastAsia="Times New Roman" w:hAnsi="Times New Roman" w:cs="Times New Roman"/>
      <w:sz w:val="24"/>
      <w:szCs w:val="24"/>
      <w:lang w:val="x-none" w:eastAsia="ru-RU"/>
    </w:rPr>
  </w:style>
  <w:style w:type="paragraph" w:styleId="ae">
    <w:name w:val="annotation text"/>
    <w:basedOn w:val="a"/>
    <w:link w:val="af"/>
    <w:uiPriority w:val="99"/>
    <w:semiHidden/>
    <w:unhideWhenUsed/>
    <w:rsid w:val="00FF4E43"/>
    <w:rPr>
      <w:rFonts w:eastAsia="Times New Roman" w:cs="Times New Roman"/>
      <w:sz w:val="20"/>
      <w:szCs w:val="20"/>
      <w:lang w:val="x-none"/>
    </w:rPr>
  </w:style>
  <w:style w:type="character" w:customStyle="1" w:styleId="af">
    <w:name w:val="Текст примечания Знак"/>
    <w:basedOn w:val="a0"/>
    <w:link w:val="ae"/>
    <w:uiPriority w:val="99"/>
    <w:semiHidden/>
    <w:rsid w:val="00FF4E43"/>
    <w:rPr>
      <w:rFonts w:ascii="Times New Roman" w:eastAsia="Times New Roman" w:hAnsi="Times New Roman" w:cs="Times New Roman"/>
      <w:sz w:val="20"/>
      <w:szCs w:val="20"/>
      <w:lang w:val="x-none" w:eastAsia="ru-RU"/>
    </w:rPr>
  </w:style>
  <w:style w:type="character" w:customStyle="1" w:styleId="a6">
    <w:name w:val="Абзац списка Знак"/>
    <w:link w:val="a5"/>
    <w:uiPriority w:val="99"/>
    <w:rsid w:val="00FF4E43"/>
    <w:rPr>
      <w:rFonts w:ascii="Calibri" w:eastAsia="Calibri" w:hAnsi="Calibri" w:cs="Times New Roman"/>
    </w:rPr>
  </w:style>
  <w:style w:type="paragraph" w:customStyle="1" w:styleId="Textbody">
    <w:name w:val="Text body"/>
    <w:basedOn w:val="a"/>
    <w:rsid w:val="00FF4E43"/>
    <w:pPr>
      <w:widowControl w:val="0"/>
      <w:tabs>
        <w:tab w:val="left" w:pos="708"/>
      </w:tabs>
      <w:suppressAutoHyphens/>
      <w:autoSpaceDN w:val="0"/>
      <w:spacing w:after="120" w:line="100" w:lineRule="atLeast"/>
      <w:ind w:firstLine="0"/>
      <w:jc w:val="left"/>
      <w:textAlignment w:val="baseline"/>
    </w:pPr>
    <w:rPr>
      <w:rFonts w:eastAsia="SimSun" w:cs="Mangal"/>
      <w:color w:val="00000A"/>
      <w:kern w:val="3"/>
      <w:sz w:val="24"/>
      <w:szCs w:val="24"/>
      <w:lang w:eastAsia="zh-CN" w:bidi="hi-IN"/>
    </w:rPr>
  </w:style>
  <w:style w:type="paragraph" w:customStyle="1" w:styleId="ConsPlusNonformat">
    <w:name w:val="ConsPlusNonformat"/>
    <w:uiPriority w:val="99"/>
    <w:rsid w:val="00B93BB7"/>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rmal">
    <w:name w:val="ConsPlusNormal"/>
    <w:link w:val="ConsPlusNormal0"/>
    <w:rsid w:val="00B93B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No Spacing"/>
    <w:link w:val="af1"/>
    <w:uiPriority w:val="1"/>
    <w:qFormat/>
    <w:rsid w:val="00CB5039"/>
    <w:pPr>
      <w:spacing w:after="0" w:line="240" w:lineRule="auto"/>
    </w:pPr>
    <w:rPr>
      <w:rFonts w:ascii="Times New Roman" w:eastAsia="Calibri" w:hAnsi="Times New Roman" w:cs="Times New Roman"/>
      <w:sz w:val="24"/>
      <w:szCs w:val="16"/>
    </w:rPr>
  </w:style>
  <w:style w:type="character" w:customStyle="1" w:styleId="af1">
    <w:name w:val="Без интервала Знак"/>
    <w:basedOn w:val="a0"/>
    <w:link w:val="af0"/>
    <w:uiPriority w:val="1"/>
    <w:rsid w:val="00CB5039"/>
    <w:rPr>
      <w:rFonts w:ascii="Times New Roman" w:eastAsia="Calibri" w:hAnsi="Times New Roman" w:cs="Times New Roman"/>
      <w:sz w:val="24"/>
      <w:szCs w:val="16"/>
    </w:rPr>
  </w:style>
  <w:style w:type="paragraph" w:styleId="af2">
    <w:name w:val="Body Text Indent"/>
    <w:basedOn w:val="a"/>
    <w:link w:val="af3"/>
    <w:uiPriority w:val="99"/>
    <w:semiHidden/>
    <w:unhideWhenUsed/>
    <w:rsid w:val="004F1ACD"/>
    <w:pPr>
      <w:spacing w:after="120"/>
      <w:ind w:left="283"/>
    </w:pPr>
  </w:style>
  <w:style w:type="character" w:customStyle="1" w:styleId="af3">
    <w:name w:val="Основной текст с отступом Знак"/>
    <w:basedOn w:val="a0"/>
    <w:link w:val="af2"/>
    <w:uiPriority w:val="99"/>
    <w:semiHidden/>
    <w:rsid w:val="004F1ACD"/>
    <w:rPr>
      <w:rFonts w:ascii="Times New Roman" w:eastAsiaTheme="minorEastAsia" w:hAnsi="Times New Roman"/>
      <w:sz w:val="28"/>
      <w:lang w:eastAsia="ru-RU"/>
    </w:rPr>
  </w:style>
  <w:style w:type="character" w:customStyle="1" w:styleId="ConsPlusNormal0">
    <w:name w:val="ConsPlusNormal Знак"/>
    <w:link w:val="ConsPlusNormal"/>
    <w:rsid w:val="004F1ACD"/>
    <w:rPr>
      <w:rFonts w:ascii="Arial" w:eastAsia="Times New Roman" w:hAnsi="Arial" w:cs="Arial"/>
      <w:sz w:val="20"/>
      <w:szCs w:val="20"/>
      <w:lang w:eastAsia="ru-RU"/>
    </w:rPr>
  </w:style>
  <w:style w:type="paragraph" w:customStyle="1" w:styleId="ConsNonformat">
    <w:name w:val="ConsNonformat"/>
    <w:rsid w:val="00DA522B"/>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FontStyle21">
    <w:name w:val="Font Style21"/>
    <w:uiPriority w:val="99"/>
    <w:rsid w:val="00DA522B"/>
    <w:rPr>
      <w:rFonts w:ascii="Times New Roman" w:hAnsi="Times New Roman" w:cs="Times New Roman"/>
      <w:sz w:val="26"/>
      <w:szCs w:val="26"/>
    </w:rPr>
  </w:style>
  <w:style w:type="paragraph" w:styleId="31">
    <w:name w:val="Body Text Indent 3"/>
    <w:basedOn w:val="a"/>
    <w:link w:val="32"/>
    <w:uiPriority w:val="99"/>
    <w:semiHidden/>
    <w:unhideWhenUsed/>
    <w:rsid w:val="0083380D"/>
    <w:pPr>
      <w:spacing w:after="120"/>
      <w:ind w:left="283"/>
    </w:pPr>
    <w:rPr>
      <w:sz w:val="16"/>
      <w:szCs w:val="16"/>
    </w:rPr>
  </w:style>
  <w:style w:type="character" w:customStyle="1" w:styleId="32">
    <w:name w:val="Основной текст с отступом 3 Знак"/>
    <w:basedOn w:val="a0"/>
    <w:link w:val="31"/>
    <w:uiPriority w:val="99"/>
    <w:semiHidden/>
    <w:rsid w:val="0083380D"/>
    <w:rPr>
      <w:rFonts w:ascii="Times New Roman" w:eastAsiaTheme="minorEastAsia" w:hAnsi="Times New Roman"/>
      <w:sz w:val="16"/>
      <w:szCs w:val="16"/>
      <w:lang w:eastAsia="ru-RU"/>
    </w:rPr>
  </w:style>
  <w:style w:type="table" w:styleId="af4">
    <w:name w:val="Table Grid"/>
    <w:basedOn w:val="a1"/>
    <w:uiPriority w:val="59"/>
    <w:rsid w:val="008338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basedOn w:val="a"/>
    <w:link w:val="af6"/>
    <w:uiPriority w:val="99"/>
    <w:unhideWhenUsed/>
    <w:rsid w:val="00CD51CC"/>
    <w:pPr>
      <w:tabs>
        <w:tab w:val="center" w:pos="4677"/>
        <w:tab w:val="right" w:pos="9355"/>
      </w:tabs>
    </w:pPr>
  </w:style>
  <w:style w:type="character" w:customStyle="1" w:styleId="af6">
    <w:name w:val="Верхний колонтитул Знак"/>
    <w:basedOn w:val="a0"/>
    <w:link w:val="af5"/>
    <w:uiPriority w:val="99"/>
    <w:rsid w:val="00CD51CC"/>
    <w:rPr>
      <w:rFonts w:ascii="Times New Roman" w:eastAsiaTheme="minorEastAsia" w:hAnsi="Times New Roman"/>
      <w:sz w:val="28"/>
      <w:lang w:eastAsia="ru-RU"/>
    </w:rPr>
  </w:style>
  <w:style w:type="paragraph" w:styleId="af7">
    <w:name w:val="footer"/>
    <w:basedOn w:val="a"/>
    <w:link w:val="af8"/>
    <w:uiPriority w:val="99"/>
    <w:unhideWhenUsed/>
    <w:rsid w:val="00CD51CC"/>
    <w:pPr>
      <w:tabs>
        <w:tab w:val="center" w:pos="4677"/>
        <w:tab w:val="right" w:pos="9355"/>
      </w:tabs>
    </w:pPr>
  </w:style>
  <w:style w:type="character" w:customStyle="1" w:styleId="af8">
    <w:name w:val="Нижний колонтитул Знак"/>
    <w:basedOn w:val="a0"/>
    <w:link w:val="af7"/>
    <w:uiPriority w:val="99"/>
    <w:rsid w:val="00CD51CC"/>
    <w:rPr>
      <w:rFonts w:ascii="Times New Roman" w:eastAsiaTheme="minorEastAsia" w:hAnsi="Times New Roman"/>
      <w:sz w:val="28"/>
      <w:lang w:eastAsia="ru-RU"/>
    </w:rPr>
  </w:style>
</w:styles>
</file>

<file path=word/webSettings.xml><?xml version="1.0" encoding="utf-8"?>
<w:webSettings xmlns:r="http://schemas.openxmlformats.org/officeDocument/2006/relationships" xmlns:w="http://schemas.openxmlformats.org/wordprocessingml/2006/main">
  <w:divs>
    <w:div w:id="269166200">
      <w:bodyDiv w:val="1"/>
      <w:marLeft w:val="0"/>
      <w:marRight w:val="0"/>
      <w:marTop w:val="0"/>
      <w:marBottom w:val="0"/>
      <w:divBdr>
        <w:top w:val="none" w:sz="0" w:space="0" w:color="auto"/>
        <w:left w:val="none" w:sz="0" w:space="0" w:color="auto"/>
        <w:bottom w:val="none" w:sz="0" w:space="0" w:color="auto"/>
        <w:right w:val="none" w:sz="0" w:space="0" w:color="auto"/>
      </w:divBdr>
    </w:div>
    <w:div w:id="281687905">
      <w:bodyDiv w:val="1"/>
      <w:marLeft w:val="0"/>
      <w:marRight w:val="0"/>
      <w:marTop w:val="0"/>
      <w:marBottom w:val="0"/>
      <w:divBdr>
        <w:top w:val="none" w:sz="0" w:space="0" w:color="auto"/>
        <w:left w:val="none" w:sz="0" w:space="0" w:color="auto"/>
        <w:bottom w:val="none" w:sz="0" w:space="0" w:color="auto"/>
        <w:right w:val="none" w:sz="0" w:space="0" w:color="auto"/>
      </w:divBdr>
    </w:div>
    <w:div w:id="911431364">
      <w:bodyDiv w:val="1"/>
      <w:marLeft w:val="0"/>
      <w:marRight w:val="0"/>
      <w:marTop w:val="0"/>
      <w:marBottom w:val="0"/>
      <w:divBdr>
        <w:top w:val="none" w:sz="0" w:space="0" w:color="auto"/>
        <w:left w:val="none" w:sz="0" w:space="0" w:color="auto"/>
        <w:bottom w:val="none" w:sz="0" w:space="0" w:color="auto"/>
        <w:right w:val="none" w:sz="0" w:space="0" w:color="auto"/>
      </w:divBdr>
    </w:div>
    <w:div w:id="1069425000">
      <w:bodyDiv w:val="1"/>
      <w:marLeft w:val="0"/>
      <w:marRight w:val="0"/>
      <w:marTop w:val="0"/>
      <w:marBottom w:val="0"/>
      <w:divBdr>
        <w:top w:val="none" w:sz="0" w:space="0" w:color="auto"/>
        <w:left w:val="none" w:sz="0" w:space="0" w:color="auto"/>
        <w:bottom w:val="none" w:sz="0" w:space="0" w:color="auto"/>
        <w:right w:val="none" w:sz="0" w:space="0" w:color="auto"/>
      </w:divBdr>
    </w:div>
    <w:div w:id="1232036186">
      <w:bodyDiv w:val="1"/>
      <w:marLeft w:val="0"/>
      <w:marRight w:val="0"/>
      <w:marTop w:val="0"/>
      <w:marBottom w:val="0"/>
      <w:divBdr>
        <w:top w:val="none" w:sz="0" w:space="0" w:color="auto"/>
        <w:left w:val="none" w:sz="0" w:space="0" w:color="auto"/>
        <w:bottom w:val="none" w:sz="0" w:space="0" w:color="auto"/>
        <w:right w:val="none" w:sz="0" w:space="0" w:color="auto"/>
      </w:divBdr>
    </w:div>
    <w:div w:id="1601909867">
      <w:bodyDiv w:val="1"/>
      <w:marLeft w:val="0"/>
      <w:marRight w:val="0"/>
      <w:marTop w:val="0"/>
      <w:marBottom w:val="0"/>
      <w:divBdr>
        <w:top w:val="none" w:sz="0" w:space="0" w:color="auto"/>
        <w:left w:val="none" w:sz="0" w:space="0" w:color="auto"/>
        <w:bottom w:val="none" w:sz="0" w:space="0" w:color="auto"/>
        <w:right w:val="none" w:sz="0" w:space="0" w:color="auto"/>
      </w:divBdr>
    </w:div>
    <w:div w:id="160727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chart" Target="charts/chart31.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chart" Target="charts/chart3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chart" Target="charts/chart30.xml"/><Relationship Id="rId46" Type="http://schemas.openxmlformats.org/officeDocument/2006/relationships/chart" Target="charts/chart38.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chart" Target="charts/chart3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chart" Target="charts/chart29.xml"/><Relationship Id="rId40" Type="http://schemas.openxmlformats.org/officeDocument/2006/relationships/chart" Target="charts/chart32.xml"/><Relationship Id="rId45" Type="http://schemas.openxmlformats.org/officeDocument/2006/relationships/chart" Target="charts/chart37.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chart" Target="charts/chart28.xml"/><Relationship Id="rId49" Type="http://schemas.microsoft.com/office/2007/relationships/stylesWithEffects" Target="stylesWithEffects.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4" Type="http://schemas.openxmlformats.org/officeDocument/2006/relationships/chart" Target="charts/chart3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chart" Target="charts/chart35.xml"/><Relationship Id="rId48" Type="http://schemas.openxmlformats.org/officeDocument/2006/relationships/theme" Target="theme/theme1.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92;&#1080;&#1085;&#1072;&#1085;&#1089;&#1080;&#1088;&#1086;&#1074;&#1072;&#1085;&#1080;&#1077;%20&#1054;&#1041;&#1065;&#1048;&#104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bogdanova\Documents\&#1086;&#1090;&#1095;&#1077;&#1090;&#1099;\2014%20&#1075;&#1086;&#1076;\&#1054;&#1090;&#1095;&#1077;&#1090;%20&#1087;&#1086;&#1082;&#1072;&#1079;&#1072;&#1090;&#1077;&#1083;&#1080;%20&#1054;&#1041;&#1065;&#1048;&#104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a:pPr>
            <a:r>
              <a:rPr lang="ru-RU" sz="1100"/>
              <a:t>Исполнение государственных программ по источникам финансирования</a:t>
            </a:r>
          </a:p>
        </c:rich>
      </c:tx>
      <c:layout/>
    </c:title>
    <c:plotArea>
      <c:layout>
        <c:manualLayout>
          <c:layoutTarget val="inner"/>
          <c:xMode val="edge"/>
          <c:yMode val="edge"/>
          <c:x val="3.2645056032213467E-2"/>
          <c:y val="0.10972705016800073"/>
          <c:w val="0.95699220122692408"/>
          <c:h val="0.66204108828051167"/>
        </c:manualLayout>
      </c:layout>
      <c:barChart>
        <c:barDir val="col"/>
        <c:grouping val="stacked"/>
        <c:ser>
          <c:idx val="1"/>
          <c:order val="0"/>
          <c:tx>
            <c:strRef>
              <c:f>'Лист1 (3)'!$I$3</c:f>
              <c:strCache>
                <c:ptCount val="1"/>
                <c:pt idx="0">
                  <c:v>ОБ</c:v>
                </c:pt>
              </c:strCache>
            </c:strRef>
          </c:tx>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c:spPr>
          <c:dLbls>
            <c:numFmt formatCode="#,##0" sourceLinked="0"/>
            <c:dLblPos val="ctr"/>
            <c:showVal val="1"/>
            <c:showSerName val="1"/>
            <c:separator>
</c:separator>
          </c:dLbls>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(3)'!$I$4:$I$8</c:f>
              <c:numCache>
                <c:formatCode>#,##0.0</c:formatCode>
                <c:ptCount val="5"/>
                <c:pt idx="0">
                  <c:v>9293073.44582</c:v>
                </c:pt>
                <c:pt idx="1">
                  <c:v>12258602.242339995</c:v>
                </c:pt>
                <c:pt idx="2">
                  <c:v>9103915.560999997</c:v>
                </c:pt>
                <c:pt idx="3">
                  <c:v>3450120.9289999986</c:v>
                </c:pt>
                <c:pt idx="4">
                  <c:v>3103005.9942999999</c:v>
                </c:pt>
              </c:numCache>
            </c:numRef>
          </c:val>
        </c:ser>
        <c:ser>
          <c:idx val="2"/>
          <c:order val="1"/>
          <c:tx>
            <c:strRef>
              <c:f>'Лист1 (3)'!$J$3</c:f>
              <c:strCache>
                <c:ptCount val="1"/>
                <c:pt idx="0">
                  <c:v>ФБ</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lumMod val="50000"/>
                </a:schemeClr>
              </a:solidFill>
              <a:prstDash val="solid"/>
            </a:ln>
            <a:effectLst>
              <a:outerShdw blurRad="40000" dist="23000" dir="5400000" rotWithShape="0">
                <a:srgbClr val="000000">
                  <a:alpha val="35000"/>
                </a:srgbClr>
              </a:outerShdw>
            </a:effectLst>
          </c:spPr>
          <c:dLbls>
            <c:dLbl>
              <c:idx val="0"/>
              <c:delete val="1"/>
            </c:dLbl>
            <c:dLbl>
              <c:idx val="1"/>
              <c:delete val="1"/>
            </c:dLbl>
            <c:dLbl>
              <c:idx val="2"/>
              <c:delete val="1"/>
            </c:dLbl>
            <c:dLbl>
              <c:idx val="3"/>
              <c:delete val="1"/>
            </c:dLbl>
            <c:numFmt formatCode="#,##0" sourceLinked="0"/>
            <c:dLblPos val="ctr"/>
            <c:showVal val="1"/>
            <c:showSerName val="1"/>
            <c:separator>
</c:separator>
          </c:dLbls>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(3)'!$J$4:$J$8</c:f>
              <c:numCache>
                <c:formatCode>#,##0.0</c:formatCode>
                <c:ptCount val="5"/>
                <c:pt idx="0">
                  <c:v>395441.96000000008</c:v>
                </c:pt>
                <c:pt idx="1">
                  <c:v>447123.91629999992</c:v>
                </c:pt>
                <c:pt idx="2">
                  <c:v>1068628.25</c:v>
                </c:pt>
                <c:pt idx="3">
                  <c:v>208815.77500000005</c:v>
                </c:pt>
                <c:pt idx="4">
                  <c:v>1668473</c:v>
                </c:pt>
              </c:numCache>
            </c:numRef>
          </c:val>
        </c:ser>
        <c:ser>
          <c:idx val="3"/>
          <c:order val="2"/>
          <c:tx>
            <c:strRef>
              <c:f>'Лист1 (3)'!$K$3</c:f>
              <c:strCache>
                <c:ptCount val="1"/>
                <c:pt idx="0">
                  <c:v>МБ</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rgbClr val="0070C0"/>
              </a:solidFill>
              <a:prstDash val="solid"/>
            </a:ln>
            <a:effectLst>
              <a:outerShdw blurRad="40000" dist="23000" dir="5400000" rotWithShape="0">
                <a:srgbClr val="000000">
                  <a:alpha val="35000"/>
                </a:srgbClr>
              </a:outerShdw>
            </a:effectLst>
          </c:spPr>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(3)'!$K$4:$K$7</c:f>
              <c:numCache>
                <c:formatCode>#,##0.0</c:formatCode>
                <c:ptCount val="4"/>
                <c:pt idx="1">
                  <c:v>145991.6</c:v>
                </c:pt>
                <c:pt idx="3">
                  <c:v>14037.17</c:v>
                </c:pt>
              </c:numCache>
            </c:numRef>
          </c:val>
        </c:ser>
        <c:ser>
          <c:idx val="4"/>
          <c:order val="3"/>
          <c:tx>
            <c:strRef>
              <c:f>'Лист1 (3)'!$L$3</c:f>
              <c:strCache>
                <c:ptCount val="1"/>
                <c:pt idx="0">
                  <c:v>ВБС</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lumMod val="50000"/>
                </a:schemeClr>
              </a:solidFill>
              <a:prstDash val="solid"/>
            </a:ln>
            <a:effectLst>
              <a:outerShdw blurRad="40000" dist="23000" dir="5400000" rotWithShape="0">
                <a:srgbClr val="000000">
                  <a:alpha val="35000"/>
                </a:srgbClr>
              </a:outerShdw>
            </a:effectLst>
          </c:spPr>
          <c:dLbls>
            <c:dLbl>
              <c:idx val="2"/>
              <c:delete val="1"/>
            </c:dLbl>
            <c:numFmt formatCode="#,##0" sourceLinked="0"/>
            <c:dLblPos val="ctr"/>
            <c:showVal val="1"/>
            <c:showSerName val="1"/>
            <c:separator>
</c:separator>
          </c:dLbls>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(3)'!$L$4:$L$8</c:f>
              <c:numCache>
                <c:formatCode>General</c:formatCode>
                <c:ptCount val="5"/>
                <c:pt idx="0" formatCode="#,##0.0">
                  <c:v>12165475.200000001</c:v>
                </c:pt>
                <c:pt idx="2" formatCode="#,##0.0">
                  <c:v>32199.1</c:v>
                </c:pt>
                <c:pt idx="3" formatCode="#,##0.0">
                  <c:v>4049629.3</c:v>
                </c:pt>
              </c:numCache>
            </c:numRef>
          </c:val>
        </c:ser>
        <c:dLbls/>
        <c:gapWidth val="82"/>
        <c:overlap val="100"/>
        <c:axId val="83421056"/>
        <c:axId val="83422592"/>
      </c:barChart>
      <c:lineChart>
        <c:grouping val="standard"/>
        <c:ser>
          <c:idx val="0"/>
          <c:order val="5"/>
          <c:tx>
            <c:strRef>
              <c:f>'Лист1 (3)'!$C$3</c:f>
              <c:strCache>
                <c:ptCount val="1"/>
                <c:pt idx="0">
                  <c:v>План</c:v>
                </c:pt>
              </c:strCache>
            </c:strRef>
          </c:tx>
          <c:spPr>
            <a:ln>
              <a:solidFill>
                <a:srgbClr val="00B050"/>
              </a:solidFill>
            </a:ln>
          </c:spPr>
          <c:marker>
            <c:symbol val="none"/>
          </c:marker>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(3)'!$C$4:$C$8</c:f>
              <c:numCache>
                <c:formatCode>#,##0.0</c:formatCode>
                <c:ptCount val="5"/>
                <c:pt idx="0">
                  <c:v>22415930.140000001</c:v>
                </c:pt>
                <c:pt idx="1">
                  <c:v>13080478.913809998</c:v>
                </c:pt>
                <c:pt idx="2">
                  <c:v>10645786.271000002</c:v>
                </c:pt>
                <c:pt idx="3">
                  <c:v>7412392.7600000007</c:v>
                </c:pt>
                <c:pt idx="4">
                  <c:v>4785735.1507999999</c:v>
                </c:pt>
              </c:numCache>
            </c:numRef>
          </c:val>
        </c:ser>
        <c:ser>
          <c:idx val="6"/>
          <c:order val="6"/>
          <c:tx>
            <c:strRef>
              <c:f>'Лист1 (3)'!$H$3</c:f>
              <c:strCache>
                <c:ptCount val="1"/>
                <c:pt idx="0">
                  <c:v>Всего расходов</c:v>
                </c:pt>
              </c:strCache>
            </c:strRef>
          </c:tx>
          <c:spPr>
            <a:ln w="28575" cap="flat" cmpd="sng" algn="ctr">
              <a:solidFill>
                <a:schemeClr val="accent2">
                  <a:lumMod val="75000"/>
                </a:schemeClr>
              </a:solidFill>
              <a:prstDash val="solid"/>
            </a:ln>
            <a:effectLst/>
          </c:spPr>
          <c:marker>
            <c:symbol val="none"/>
          </c:marker>
          <c:dLbls>
            <c:dLbl>
              <c:idx val="0"/>
              <c:layout>
                <c:manualLayout>
                  <c:x val="-4.1983984597497553E-2"/>
                  <c:y val="-2.2413911677915548E-2"/>
                </c:manualLayout>
              </c:layout>
              <c:dLblPos val="r"/>
              <c:showVal val="1"/>
            </c:dLbl>
            <c:numFmt formatCode="#,##0" sourceLinked="0"/>
            <c:txPr>
              <a:bodyPr/>
              <a:lstStyle/>
              <a:p>
                <a:pPr>
                  <a:defRPr sz="1000" b="1"/>
                </a:pPr>
                <a:endParaRPr lang="ru-RU"/>
              </a:p>
            </c:txPr>
            <c:dLblPos val="t"/>
            <c:showVal val="1"/>
          </c:dLbls>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(3)'!$H$4:$H$8</c:f>
              <c:numCache>
                <c:formatCode>#,##0.0</c:formatCode>
                <c:ptCount val="5"/>
                <c:pt idx="0">
                  <c:v>21853990.60582</c:v>
                </c:pt>
                <c:pt idx="1">
                  <c:v>12851717.758639999</c:v>
                </c:pt>
                <c:pt idx="2">
                  <c:v>10204742.911000002</c:v>
                </c:pt>
                <c:pt idx="3">
                  <c:v>7722603.1740000006</c:v>
                </c:pt>
                <c:pt idx="4">
                  <c:v>4771478.9943000004</c:v>
                </c:pt>
              </c:numCache>
            </c:numRef>
          </c:val>
        </c:ser>
        <c:dLbls/>
        <c:marker val="1"/>
        <c:axId val="83421056"/>
        <c:axId val="83422592"/>
      </c:lineChart>
      <c:lineChart>
        <c:grouping val="standard"/>
        <c:ser>
          <c:idx val="5"/>
          <c:order val="4"/>
          <c:tx>
            <c:strRef>
              <c:f>'Лист1 (3)'!$M$3</c:f>
              <c:strCache>
                <c:ptCount val="1"/>
                <c:pt idx="0">
                  <c:v>Степень освоения средств</c:v>
                </c:pt>
              </c:strCache>
            </c:strRef>
          </c:tx>
          <c:spPr>
            <a:ln>
              <a:noFill/>
            </a:ln>
          </c:spPr>
          <c:marker>
            <c:symbol val="diamond"/>
            <c:size val="12"/>
            <c:spPr>
              <a:solidFill>
                <a:schemeClr val="accent2">
                  <a:lumMod val="50000"/>
                </a:schemeClr>
              </a:solidFill>
              <a:ln>
                <a:solidFill>
                  <a:schemeClr val="bg2">
                    <a:lumMod val="10000"/>
                  </a:schemeClr>
                </a:solidFill>
              </a:ln>
            </c:spPr>
          </c:marker>
          <c:dLbls>
            <c:dLblPos val="t"/>
            <c:showVal val="1"/>
          </c:dLbls>
          <c:cat>
            <c:strRef>
              <c:f>'Лист1 (3)'!$A$4:$A$8</c:f>
              <c:strCache>
                <c:ptCount val="5"/>
                <c:pt idx="0">
                  <c:v>Развитие здравоохранения</c:v>
                </c:pt>
                <c:pt idx="1">
                  <c:v>Развитие образования</c:v>
                </c:pt>
                <c:pt idx="2">
                  <c:v>Социальная поддержка граждан</c:v>
                </c:pt>
                <c:pt idx="3">
                  <c:v>Энергоэффективность и развитие энергетики</c:v>
                </c:pt>
                <c:pt idx="4">
                  <c:v>Управление региональными финансами</c:v>
                </c:pt>
              </c:strCache>
            </c:strRef>
          </c:cat>
          <c:val>
            <c:numRef>
              <c:f>'Лист1 (3)'!$M$4:$M$8</c:f>
              <c:numCache>
                <c:formatCode>0.0%</c:formatCode>
                <c:ptCount val="5"/>
                <c:pt idx="0">
                  <c:v>0.97493124172539924</c:v>
                </c:pt>
                <c:pt idx="1">
                  <c:v>0.98251125538465711</c:v>
                </c:pt>
                <c:pt idx="2">
                  <c:v>0.95857108636480559</c:v>
                </c:pt>
                <c:pt idx="3">
                  <c:v>1.0418502397328444</c:v>
                </c:pt>
                <c:pt idx="4">
                  <c:v>0.99702111461441489</c:v>
                </c:pt>
              </c:numCache>
            </c:numRef>
          </c:val>
        </c:ser>
        <c:dLbls/>
        <c:marker val="1"/>
        <c:axId val="85548032"/>
        <c:axId val="85546496"/>
      </c:lineChart>
      <c:catAx>
        <c:axId val="83421056"/>
        <c:scaling>
          <c:orientation val="minMax"/>
        </c:scaling>
        <c:axPos val="b"/>
        <c:tickLblPos val="nextTo"/>
        <c:txPr>
          <a:bodyPr rot="0"/>
          <a:lstStyle/>
          <a:p>
            <a:pPr>
              <a:defRPr/>
            </a:pPr>
            <a:endParaRPr lang="ru-RU"/>
          </a:p>
        </c:txPr>
        <c:crossAx val="83422592"/>
        <c:crosses val="autoZero"/>
        <c:lblAlgn val="ctr"/>
        <c:lblOffset val="100"/>
      </c:catAx>
      <c:valAx>
        <c:axId val="83422592"/>
        <c:scaling>
          <c:orientation val="minMax"/>
          <c:max val="27000000"/>
          <c:min val="0"/>
        </c:scaling>
        <c:axPos val="l"/>
        <c:numFmt formatCode="#,##0" sourceLinked="0"/>
        <c:majorTickMark val="none"/>
        <c:tickLblPos val="none"/>
        <c:crossAx val="83421056"/>
        <c:crosses val="autoZero"/>
        <c:crossBetween val="between"/>
        <c:dispUnits>
          <c:builtInUnit val="thousands"/>
          <c:dispUnitsLbl>
            <c:layout/>
            <c:tx>
              <c:rich>
                <a:bodyPr/>
                <a:lstStyle/>
                <a:p>
                  <a:pPr>
                    <a:defRPr/>
                  </a:pPr>
                  <a:r>
                    <a:rPr lang="ru-RU"/>
                    <a:t>Млн. рублей</a:t>
                  </a:r>
                </a:p>
              </c:rich>
            </c:tx>
          </c:dispUnitsLbl>
        </c:dispUnits>
      </c:valAx>
      <c:valAx>
        <c:axId val="85546496"/>
        <c:scaling>
          <c:orientation val="minMax"/>
          <c:max val="1.05"/>
          <c:min val="0.4"/>
        </c:scaling>
        <c:axPos val="r"/>
        <c:numFmt formatCode="0%" sourceLinked="0"/>
        <c:majorTickMark val="none"/>
        <c:tickLblPos val="none"/>
        <c:crossAx val="85548032"/>
        <c:crosses val="max"/>
        <c:crossBetween val="between"/>
      </c:valAx>
      <c:catAx>
        <c:axId val="85548032"/>
        <c:scaling>
          <c:orientation val="minMax"/>
        </c:scaling>
        <c:delete val="1"/>
        <c:axPos val="b"/>
        <c:tickLblPos val="none"/>
        <c:crossAx val="85546496"/>
        <c:crosses val="autoZero"/>
        <c:auto val="1"/>
        <c:lblAlgn val="ctr"/>
        <c:lblOffset val="100"/>
      </c:catAx>
    </c:plotArea>
    <c:legend>
      <c:legendPos val="b"/>
      <c:legendEntry>
        <c:idx val="5"/>
        <c:txPr>
          <a:bodyPr/>
          <a:lstStyle/>
          <a:p>
            <a:pPr>
              <a:defRPr sz="1050" b="1"/>
            </a:pPr>
            <a:endParaRPr lang="ru-RU"/>
          </a:p>
        </c:txPr>
      </c:legendEntry>
      <c:layout>
        <c:manualLayout>
          <c:xMode val="edge"/>
          <c:yMode val="edge"/>
          <c:x val="0"/>
          <c:y val="0.87765526791618254"/>
          <c:w val="0.98559463338060838"/>
          <c:h val="0.10637281661321543"/>
        </c:manualLayout>
      </c:layout>
      <c:txPr>
        <a:bodyPr/>
        <a:lstStyle/>
        <a:p>
          <a:pPr>
            <a:defRPr sz="1050"/>
          </a:pPr>
          <a:endParaRPr lang="ru-RU"/>
        </a:p>
      </c:txPr>
    </c:legend>
    <c:plotVisOnly val="1"/>
    <c:dispBlanksAs val="gap"/>
  </c:chart>
  <c:txPr>
    <a:bodyPr/>
    <a:lstStyle/>
    <a:p>
      <a:pPr>
        <a:defRPr sz="900">
          <a:latin typeface="Times New Roman" pitchFamily="18" charset="0"/>
          <a:cs typeface="Times New Roman" pitchFamily="18" charset="0"/>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0.10663693925705449"/>
          <c:y val="9.4440324967074482E-2"/>
          <c:w val="0.87145230155557807"/>
          <c:h val="0.83836433519386022"/>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dLbls>
            <c:dLbl>
              <c:idx val="3"/>
              <c:dLblPos val="inEnd"/>
              <c:showVal val="1"/>
            </c:dLbl>
            <c:dLblPos val="outEnd"/>
            <c:showVal val="1"/>
          </c:dLbls>
          <c:cat>
            <c:strRef>
              <c:f>'До ГП'!$C$19:$C$22</c:f>
              <c:strCache>
                <c:ptCount val="4"/>
                <c:pt idx="0">
                  <c:v>Всего</c:v>
                </c:pt>
                <c:pt idx="1">
                  <c:v>ОБ</c:v>
                </c:pt>
                <c:pt idx="2">
                  <c:v>ФБ</c:v>
                </c:pt>
                <c:pt idx="3">
                  <c:v>ВБС</c:v>
                </c:pt>
              </c:strCache>
            </c:strRef>
          </c:cat>
          <c:val>
            <c:numRef>
              <c:f>'До ГП'!$D$19:$D$22</c:f>
              <c:numCache>
                <c:formatCode>#,##0.0</c:formatCode>
                <c:ptCount val="4"/>
                <c:pt idx="0">
                  <c:v>10645786.271000002</c:v>
                </c:pt>
                <c:pt idx="1">
                  <c:v>9478939.9710000008</c:v>
                </c:pt>
                <c:pt idx="2">
                  <c:v>1150846.3</c:v>
                </c:pt>
                <c:pt idx="3">
                  <c:v>16000</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3"/>
              <c:dLblPos val="outEnd"/>
              <c:showVal val="1"/>
            </c:dLbl>
            <c:dLblPos val="inEnd"/>
            <c:showVal val="1"/>
          </c:dLbls>
          <c:cat>
            <c:strRef>
              <c:f>'До ГП'!$C$19:$C$22</c:f>
              <c:strCache>
                <c:ptCount val="4"/>
                <c:pt idx="0">
                  <c:v>Всего</c:v>
                </c:pt>
                <c:pt idx="1">
                  <c:v>ОБ</c:v>
                </c:pt>
                <c:pt idx="2">
                  <c:v>ФБ</c:v>
                </c:pt>
                <c:pt idx="3">
                  <c:v>ВБС</c:v>
                </c:pt>
              </c:strCache>
            </c:strRef>
          </c:cat>
          <c:val>
            <c:numRef>
              <c:f>'До ГП'!$E$19:$E$22</c:f>
              <c:numCache>
                <c:formatCode>#,##0.0</c:formatCode>
                <c:ptCount val="4"/>
                <c:pt idx="0">
                  <c:v>10204742.911000002</c:v>
                </c:pt>
                <c:pt idx="1">
                  <c:v>9103915.560999997</c:v>
                </c:pt>
                <c:pt idx="2">
                  <c:v>1068628.25</c:v>
                </c:pt>
                <c:pt idx="3">
                  <c:v>32199.1</c:v>
                </c:pt>
              </c:numCache>
            </c:numRef>
          </c:val>
        </c:ser>
        <c:dLbls>
          <c:showVal val="1"/>
        </c:dLbls>
        <c:gapWidth val="94"/>
        <c:axId val="95924608"/>
        <c:axId val="95926144"/>
      </c:barChart>
      <c:catAx>
        <c:axId val="95924608"/>
        <c:scaling>
          <c:orientation val="minMax"/>
        </c:scaling>
        <c:axPos val="b"/>
        <c:tickLblPos val="nextTo"/>
        <c:txPr>
          <a:bodyPr/>
          <a:lstStyle/>
          <a:p>
            <a:pPr>
              <a:defRPr sz="800"/>
            </a:pPr>
            <a:endParaRPr lang="ru-RU"/>
          </a:p>
        </c:txPr>
        <c:crossAx val="95926144"/>
        <c:crosses val="autoZero"/>
        <c:auto val="1"/>
        <c:lblAlgn val="ctr"/>
        <c:lblOffset val="100"/>
      </c:catAx>
      <c:valAx>
        <c:axId val="95926144"/>
        <c:scaling>
          <c:orientation val="minMax"/>
          <c:max val="12000000"/>
          <c:min val="0"/>
        </c:scaling>
        <c:axPos val="l"/>
        <c:majorGridlines/>
        <c:numFmt formatCode="#,##0" sourceLinked="0"/>
        <c:tickLblPos val="nextTo"/>
        <c:txPr>
          <a:bodyPr/>
          <a:lstStyle/>
          <a:p>
            <a:pPr>
              <a:defRPr sz="800"/>
            </a:pPr>
            <a:endParaRPr lang="ru-RU"/>
          </a:p>
        </c:txPr>
        <c:crossAx val="95924608"/>
        <c:crosses val="autoZero"/>
        <c:crossBetween val="between"/>
        <c:majorUnit val="5000000"/>
        <c:dispUnits>
          <c:builtInUnit val="thousands"/>
        </c:dispUnits>
      </c:valAx>
    </c:plotArea>
    <c:legend>
      <c:legendPos val="r"/>
      <c:layout>
        <c:manualLayout>
          <c:xMode val="edge"/>
          <c:yMode val="edge"/>
          <c:x val="0.55688354582345556"/>
          <c:y val="0.16280929183693815"/>
          <c:w val="0.42207545943284408"/>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плановых значений показателей, единиц</a:t>
            </a:r>
          </a:p>
        </c:rich>
      </c:tx>
    </c:title>
    <c:plotArea>
      <c:layout>
        <c:manualLayout>
          <c:layoutTarget val="inner"/>
          <c:xMode val="edge"/>
          <c:yMode val="edge"/>
          <c:x val="7.2465065695876879E-2"/>
          <c:y val="0.13621292244582098"/>
          <c:w val="0.85044545488152035"/>
          <c:h val="0.65133996684293816"/>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отчет'!$L$284:$O$284</c:f>
              <c:numCache>
                <c:formatCode>General</c:formatCode>
                <c:ptCount val="4"/>
                <c:pt idx="0">
                  <c:v>0</c:v>
                </c:pt>
                <c:pt idx="1">
                  <c:v>4</c:v>
                </c:pt>
                <c:pt idx="2">
                  <c:v>16</c:v>
                </c:pt>
                <c:pt idx="3">
                  <c:v>1</c:v>
                </c:pt>
              </c:numCache>
            </c:numRef>
          </c:val>
        </c:ser>
        <c:dLbls>
          <c:showVal val="1"/>
        </c:dLbls>
        <c:firstSliceAng val="66"/>
        <c:holeSize val="67"/>
      </c:doughnutChart>
    </c:plotArea>
    <c:legend>
      <c:legendPos val="b"/>
      <c:legendEntry>
        <c:idx val="0"/>
        <c:delete val="1"/>
      </c:legendEntry>
      <c:layout>
        <c:manualLayout>
          <c:xMode val="edge"/>
          <c:yMode val="edge"/>
          <c:x val="0"/>
          <c:y val="0.80435760551904645"/>
          <c:w val="0.99382838245875738"/>
          <c:h val="0.19564239448095358"/>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2584652579341467E-2"/>
          <c:y val="0.15670689214777142"/>
          <c:w val="0.88550429175645262"/>
          <c:h val="0.77517211935459807"/>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ГП'!$C$23:$C$26</c:f>
              <c:strCache>
                <c:ptCount val="4"/>
                <c:pt idx="0">
                  <c:v>Всего</c:v>
                </c:pt>
                <c:pt idx="1">
                  <c:v>ОБ</c:v>
                </c:pt>
                <c:pt idx="2">
                  <c:v>ФБ</c:v>
                </c:pt>
                <c:pt idx="3">
                  <c:v>МБ</c:v>
                </c:pt>
              </c:strCache>
            </c:strRef>
          </c:cat>
          <c:val>
            <c:numRef>
              <c:f>'До ГП'!$D$23:$D$26</c:f>
              <c:numCache>
                <c:formatCode>#,##0.0</c:formatCode>
                <c:ptCount val="4"/>
                <c:pt idx="0">
                  <c:v>968156.28999999992</c:v>
                </c:pt>
                <c:pt idx="1">
                  <c:v>870639.49000000011</c:v>
                </c:pt>
                <c:pt idx="2">
                  <c:v>95764.2</c:v>
                </c:pt>
                <c:pt idx="3">
                  <c:v>1752.6</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2"/>
              <c:dLblPos val="outEnd"/>
              <c:showVal val="1"/>
            </c:dLbl>
            <c:dLblPos val="inEnd"/>
            <c:showVal val="1"/>
          </c:dLbls>
          <c:cat>
            <c:strRef>
              <c:f>'До ГП'!$C$23:$C$26</c:f>
              <c:strCache>
                <c:ptCount val="4"/>
                <c:pt idx="0">
                  <c:v>Всего</c:v>
                </c:pt>
                <c:pt idx="1">
                  <c:v>ОБ</c:v>
                </c:pt>
                <c:pt idx="2">
                  <c:v>ФБ</c:v>
                </c:pt>
                <c:pt idx="3">
                  <c:v>МБ</c:v>
                </c:pt>
              </c:strCache>
            </c:strRef>
          </c:cat>
          <c:val>
            <c:numRef>
              <c:f>'До ГП'!$E$23:$E$26</c:f>
              <c:numCache>
                <c:formatCode>#,##0.0</c:formatCode>
                <c:ptCount val="4"/>
                <c:pt idx="0">
                  <c:v>965514.59000000008</c:v>
                </c:pt>
                <c:pt idx="1">
                  <c:v>869750.39000000013</c:v>
                </c:pt>
                <c:pt idx="2">
                  <c:v>95764.2</c:v>
                </c:pt>
                <c:pt idx="3">
                  <c:v>0</c:v>
                </c:pt>
              </c:numCache>
            </c:numRef>
          </c:val>
        </c:ser>
        <c:dLbls>
          <c:showVal val="1"/>
        </c:dLbls>
        <c:gapWidth val="72"/>
        <c:axId val="96223232"/>
        <c:axId val="96224768"/>
      </c:barChart>
      <c:catAx>
        <c:axId val="96223232"/>
        <c:scaling>
          <c:orientation val="minMax"/>
        </c:scaling>
        <c:axPos val="b"/>
        <c:tickLblPos val="nextTo"/>
        <c:txPr>
          <a:bodyPr/>
          <a:lstStyle/>
          <a:p>
            <a:pPr>
              <a:defRPr sz="800"/>
            </a:pPr>
            <a:endParaRPr lang="ru-RU"/>
          </a:p>
        </c:txPr>
        <c:crossAx val="96224768"/>
        <c:crosses val="autoZero"/>
        <c:auto val="1"/>
        <c:lblAlgn val="ctr"/>
        <c:lblOffset val="100"/>
      </c:catAx>
      <c:valAx>
        <c:axId val="96224768"/>
        <c:scaling>
          <c:orientation val="minMax"/>
          <c:max val="1000000"/>
          <c:min val="0"/>
        </c:scaling>
        <c:axPos val="l"/>
        <c:majorGridlines/>
        <c:numFmt formatCode="#,##0" sourceLinked="0"/>
        <c:tickLblPos val="nextTo"/>
        <c:txPr>
          <a:bodyPr/>
          <a:lstStyle/>
          <a:p>
            <a:pPr>
              <a:defRPr sz="800"/>
            </a:pPr>
            <a:endParaRPr lang="ru-RU"/>
          </a:p>
        </c:txPr>
        <c:crossAx val="96223232"/>
        <c:crosses val="autoZero"/>
        <c:crossBetween val="between"/>
        <c:majorUnit val="500000"/>
        <c:dispUnits>
          <c:builtInUnit val="thousands"/>
        </c:dispUnits>
      </c:valAx>
    </c:plotArea>
    <c:legend>
      <c:legendPos val="r"/>
      <c:layout>
        <c:manualLayout>
          <c:xMode val="edge"/>
          <c:yMode val="edge"/>
          <c:x val="0.54985740248459947"/>
          <c:y val="0.13907556243589456"/>
          <c:w val="0.42909997219959317"/>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6.6746981489771234E-2"/>
          <c:y val="0.14800651831475195"/>
          <c:w val="0.82679387858775732"/>
          <c:h val="0.66424744082531295"/>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dLbl>
              <c:idx val="1"/>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отчет'!$L$316:$O$316</c:f>
              <c:numCache>
                <c:formatCode>General</c:formatCode>
                <c:ptCount val="4"/>
                <c:pt idx="0">
                  <c:v>0</c:v>
                </c:pt>
                <c:pt idx="1">
                  <c:v>0</c:v>
                </c:pt>
                <c:pt idx="2">
                  <c:v>16</c:v>
                </c:pt>
                <c:pt idx="3">
                  <c:v>2</c:v>
                </c:pt>
              </c:numCache>
            </c:numRef>
          </c:val>
        </c:ser>
        <c:dLbls>
          <c:showVal val="1"/>
        </c:dLbls>
        <c:firstSliceAng val="108"/>
        <c:holeSize val="67"/>
      </c:doughnutChart>
    </c:plotArea>
    <c:legend>
      <c:legendPos val="b"/>
      <c:legendEntry>
        <c:idx val="0"/>
        <c:delete val="1"/>
      </c:legendEntry>
      <c:legendEntry>
        <c:idx val="1"/>
        <c:delete val="1"/>
      </c:legendEntry>
      <c:layout>
        <c:manualLayout>
          <c:xMode val="edge"/>
          <c:yMode val="edge"/>
          <c:x val="0"/>
          <c:y val="0.84086939857809428"/>
          <c:w val="0.97222001035566141"/>
          <c:h val="0.13841769132599324"/>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7.6908520146753284E-2"/>
          <c:y val="9.9518695008234334E-2"/>
          <c:w val="0.90223404950599151"/>
          <c:h val="0.83419647491363269"/>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ГП'!$C$27:$C$30</c:f>
              <c:strCache>
                <c:ptCount val="4"/>
                <c:pt idx="0">
                  <c:v>Всего</c:v>
                </c:pt>
                <c:pt idx="1">
                  <c:v>ОБ</c:v>
                </c:pt>
                <c:pt idx="2">
                  <c:v>ФБ</c:v>
                </c:pt>
                <c:pt idx="3">
                  <c:v>МБ</c:v>
                </c:pt>
              </c:strCache>
            </c:strRef>
          </c:cat>
          <c:val>
            <c:numRef>
              <c:f>'До ГП'!$D$27:$D$30</c:f>
              <c:numCache>
                <c:formatCode>#,##0.0</c:formatCode>
                <c:ptCount val="4"/>
                <c:pt idx="0">
                  <c:v>848101.59799999977</c:v>
                </c:pt>
                <c:pt idx="1">
                  <c:v>806287.69799999974</c:v>
                </c:pt>
                <c:pt idx="2">
                  <c:v>40468.199999999997</c:v>
                </c:pt>
                <c:pt idx="3">
                  <c:v>1345.6999999999998</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cat>
            <c:strRef>
              <c:f>'До ГП'!$C$27:$C$30</c:f>
              <c:strCache>
                <c:ptCount val="4"/>
                <c:pt idx="0">
                  <c:v>Всего</c:v>
                </c:pt>
                <c:pt idx="1">
                  <c:v>ОБ</c:v>
                </c:pt>
                <c:pt idx="2">
                  <c:v>ФБ</c:v>
                </c:pt>
                <c:pt idx="3">
                  <c:v>МБ</c:v>
                </c:pt>
              </c:strCache>
            </c:strRef>
          </c:cat>
          <c:val>
            <c:numRef>
              <c:f>'До ГП'!$E$27:$E$30</c:f>
              <c:numCache>
                <c:formatCode>#,##0.0</c:formatCode>
                <c:ptCount val="4"/>
                <c:pt idx="0">
                  <c:v>759454.57799999986</c:v>
                </c:pt>
                <c:pt idx="1">
                  <c:v>717642.7779999997</c:v>
                </c:pt>
                <c:pt idx="2">
                  <c:v>40468.099999999991</c:v>
                </c:pt>
                <c:pt idx="3">
                  <c:v>1343.6999999999998</c:v>
                </c:pt>
              </c:numCache>
            </c:numRef>
          </c:val>
        </c:ser>
        <c:dLbls>
          <c:showVal val="1"/>
        </c:dLbls>
        <c:gapWidth val="54"/>
        <c:axId val="96428032"/>
        <c:axId val="96429568"/>
      </c:barChart>
      <c:catAx>
        <c:axId val="96428032"/>
        <c:scaling>
          <c:orientation val="minMax"/>
        </c:scaling>
        <c:axPos val="b"/>
        <c:tickLblPos val="nextTo"/>
        <c:txPr>
          <a:bodyPr/>
          <a:lstStyle/>
          <a:p>
            <a:pPr>
              <a:defRPr sz="800"/>
            </a:pPr>
            <a:endParaRPr lang="ru-RU"/>
          </a:p>
        </c:txPr>
        <c:crossAx val="96429568"/>
        <c:crosses val="autoZero"/>
        <c:auto val="1"/>
        <c:lblAlgn val="ctr"/>
        <c:lblOffset val="100"/>
      </c:catAx>
      <c:valAx>
        <c:axId val="96429568"/>
        <c:scaling>
          <c:orientation val="minMax"/>
          <c:max val="950000.00000000012"/>
          <c:min val="0"/>
        </c:scaling>
        <c:axPos val="l"/>
        <c:majorGridlines/>
        <c:numFmt formatCode="#,##0" sourceLinked="0"/>
        <c:tickLblPos val="nextTo"/>
        <c:txPr>
          <a:bodyPr/>
          <a:lstStyle/>
          <a:p>
            <a:pPr>
              <a:defRPr sz="800"/>
            </a:pPr>
            <a:endParaRPr lang="ru-RU"/>
          </a:p>
        </c:txPr>
        <c:crossAx val="96428032"/>
        <c:crosses val="autoZero"/>
        <c:crossBetween val="between"/>
        <c:majorUnit val="500000"/>
        <c:dispUnits>
          <c:builtInUnit val="thousands"/>
        </c:dispUnits>
      </c:valAx>
    </c:plotArea>
    <c:legend>
      <c:legendPos val="r"/>
      <c:layout>
        <c:manualLayout>
          <c:xMode val="edge"/>
          <c:yMode val="edge"/>
          <c:x val="0.53454191879469559"/>
          <c:y val="0.37798464096624501"/>
          <c:w val="0.44168881074372279"/>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b="0"/>
            </a:pPr>
            <a:r>
              <a:rPr lang="ru-RU" sz="1200" b="0"/>
              <a:t>Достижение </a:t>
            </a:r>
            <a:r>
              <a:rPr lang="ru-RU" sz="1200" b="0" i="0" u="none" strike="noStrike" baseline="0">
                <a:effectLst/>
              </a:rPr>
              <a:t>плановых значений </a:t>
            </a:r>
            <a:r>
              <a:rPr lang="ru-RU" sz="1200" b="0"/>
              <a:t>показателей, единиц</a:t>
            </a:r>
          </a:p>
        </c:rich>
      </c:tx>
    </c:title>
    <c:plotArea>
      <c:layout>
        <c:manualLayout>
          <c:layoutTarget val="inner"/>
          <c:xMode val="edge"/>
          <c:yMode val="edge"/>
          <c:x val="0.10408470453148637"/>
          <c:y val="0.19457267129119338"/>
          <c:w val="0.78150925109952019"/>
          <c:h val="0.63067731055830956"/>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dLbl>
              <c:idx val="1"/>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отчет'!$L$343:$O$343</c:f>
              <c:numCache>
                <c:formatCode>General</c:formatCode>
                <c:ptCount val="4"/>
                <c:pt idx="0">
                  <c:v>0</c:v>
                </c:pt>
                <c:pt idx="1">
                  <c:v>0</c:v>
                </c:pt>
                <c:pt idx="2">
                  <c:v>12</c:v>
                </c:pt>
                <c:pt idx="3">
                  <c:v>1</c:v>
                </c:pt>
              </c:numCache>
            </c:numRef>
          </c:val>
        </c:ser>
        <c:dLbls>
          <c:showVal val="1"/>
        </c:dLbls>
        <c:firstSliceAng val="103"/>
        <c:holeSize val="67"/>
      </c:doughnutChart>
    </c:plotArea>
    <c:legend>
      <c:legendPos val="b"/>
      <c:legendEntry>
        <c:idx val="0"/>
        <c:delete val="1"/>
      </c:legendEntry>
      <c:legendEntry>
        <c:idx val="1"/>
        <c:delete val="1"/>
      </c:legendEntry>
      <c:layout>
        <c:manualLayout>
          <c:xMode val="edge"/>
          <c:yMode val="edge"/>
          <c:x val="1.56646214008158E-3"/>
          <c:y val="0.80748538596315833"/>
          <c:w val="0.99255874233025299"/>
          <c:h val="0.16745634204475499"/>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8.8514852534415725E-2"/>
          <c:y val="0.13425889869382424"/>
          <c:w val="0.89891134273204942"/>
          <c:h val="0.80069664908818516"/>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ГП'!$C$31:$C$33</c:f>
              <c:strCache>
                <c:ptCount val="3"/>
                <c:pt idx="0">
                  <c:v>Всего</c:v>
                </c:pt>
                <c:pt idx="1">
                  <c:v>ОБ</c:v>
                </c:pt>
                <c:pt idx="2">
                  <c:v>ФБ</c:v>
                </c:pt>
              </c:strCache>
            </c:strRef>
          </c:cat>
          <c:val>
            <c:numRef>
              <c:f>'До ГП'!$D$31:$D$33</c:f>
              <c:numCache>
                <c:formatCode>#,##0.0</c:formatCode>
                <c:ptCount val="3"/>
                <c:pt idx="0">
                  <c:v>745440.3</c:v>
                </c:pt>
                <c:pt idx="1">
                  <c:v>351517.1</c:v>
                </c:pt>
                <c:pt idx="2">
                  <c:v>393923.2</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cat>
            <c:strRef>
              <c:f>'До ГП'!$C$31:$C$33</c:f>
              <c:strCache>
                <c:ptCount val="3"/>
                <c:pt idx="0">
                  <c:v>Всего</c:v>
                </c:pt>
                <c:pt idx="1">
                  <c:v>ОБ</c:v>
                </c:pt>
                <c:pt idx="2">
                  <c:v>ФБ</c:v>
                </c:pt>
              </c:strCache>
            </c:strRef>
          </c:cat>
          <c:val>
            <c:numRef>
              <c:f>'До ГП'!$E$31:$E$33</c:f>
              <c:numCache>
                <c:formatCode>#,##0.0</c:formatCode>
                <c:ptCount val="3"/>
                <c:pt idx="0">
                  <c:v>636350.30000000005</c:v>
                </c:pt>
                <c:pt idx="1">
                  <c:v>350680</c:v>
                </c:pt>
                <c:pt idx="2">
                  <c:v>285670.3</c:v>
                </c:pt>
              </c:numCache>
            </c:numRef>
          </c:val>
        </c:ser>
        <c:dLbls>
          <c:showVal val="1"/>
        </c:dLbls>
        <c:gapWidth val="94"/>
        <c:axId val="96525696"/>
        <c:axId val="96539776"/>
      </c:barChart>
      <c:catAx>
        <c:axId val="96525696"/>
        <c:scaling>
          <c:orientation val="minMax"/>
        </c:scaling>
        <c:axPos val="b"/>
        <c:tickLblPos val="nextTo"/>
        <c:txPr>
          <a:bodyPr/>
          <a:lstStyle/>
          <a:p>
            <a:pPr>
              <a:defRPr sz="800"/>
            </a:pPr>
            <a:endParaRPr lang="ru-RU"/>
          </a:p>
        </c:txPr>
        <c:crossAx val="96539776"/>
        <c:crosses val="autoZero"/>
        <c:auto val="1"/>
        <c:lblAlgn val="ctr"/>
        <c:lblOffset val="100"/>
      </c:catAx>
      <c:valAx>
        <c:axId val="96539776"/>
        <c:scaling>
          <c:orientation val="minMax"/>
          <c:max val="800000"/>
          <c:min val="0"/>
        </c:scaling>
        <c:axPos val="l"/>
        <c:majorGridlines/>
        <c:numFmt formatCode="#,##0" sourceLinked="0"/>
        <c:tickLblPos val="nextTo"/>
        <c:txPr>
          <a:bodyPr/>
          <a:lstStyle/>
          <a:p>
            <a:pPr>
              <a:defRPr sz="800"/>
            </a:pPr>
            <a:endParaRPr lang="ru-RU"/>
          </a:p>
        </c:txPr>
        <c:crossAx val="96525696"/>
        <c:crosses val="autoZero"/>
        <c:crossBetween val="between"/>
        <c:majorUnit val="500000"/>
        <c:dispUnits>
          <c:builtInUnit val="thousands"/>
        </c:dispUnits>
      </c:valAx>
    </c:plotArea>
    <c:legend>
      <c:legendPos val="r"/>
      <c:layout>
        <c:manualLayout>
          <c:xMode val="edge"/>
          <c:yMode val="edge"/>
          <c:x val="0.53328151269632107"/>
          <c:y val="0.28475325079682412"/>
          <c:w val="0.46117569758692678"/>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0.12963199770318251"/>
          <c:y val="0.15345120951544275"/>
          <c:w val="0.76192252232552693"/>
          <c:h val="0.60312282615440405"/>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отчет'!$L$363:$O$363</c:f>
              <c:numCache>
                <c:formatCode>General</c:formatCode>
                <c:ptCount val="4"/>
                <c:pt idx="0">
                  <c:v>4</c:v>
                </c:pt>
                <c:pt idx="1">
                  <c:v>10</c:v>
                </c:pt>
                <c:pt idx="2">
                  <c:v>26</c:v>
                </c:pt>
                <c:pt idx="3">
                  <c:v>2</c:v>
                </c:pt>
              </c:numCache>
            </c:numRef>
          </c:val>
        </c:ser>
        <c:dLbls>
          <c:showVal val="1"/>
        </c:dLbls>
        <c:firstSliceAng val="40"/>
        <c:holeSize val="67"/>
      </c:doughnutChart>
    </c:plotArea>
    <c:legend>
      <c:legendPos val="b"/>
      <c:layout>
        <c:manualLayout>
          <c:xMode val="edge"/>
          <c:yMode val="edge"/>
          <c:x val="0"/>
          <c:y val="0.74885286269950413"/>
          <c:w val="0.9995093644702151"/>
          <c:h val="0.25114714139646405"/>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8.9298893937213492E-2"/>
          <c:y val="7.5805772100967672E-2"/>
          <c:w val="0.89281786326973855"/>
          <c:h val="0.86009953049742072"/>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ГП'!$C$34:$C$38</c:f>
              <c:strCache>
                <c:ptCount val="5"/>
                <c:pt idx="0">
                  <c:v>Всего</c:v>
                </c:pt>
                <c:pt idx="1">
                  <c:v>ОБ</c:v>
                </c:pt>
                <c:pt idx="2">
                  <c:v>ФБ</c:v>
                </c:pt>
                <c:pt idx="3">
                  <c:v>МБ</c:v>
                </c:pt>
                <c:pt idx="4">
                  <c:v>ВБС</c:v>
                </c:pt>
              </c:strCache>
            </c:strRef>
          </c:cat>
          <c:val>
            <c:numRef>
              <c:f>'До ГП'!$D$34:$D$38</c:f>
              <c:numCache>
                <c:formatCode>#,##0.0</c:formatCode>
                <c:ptCount val="5"/>
                <c:pt idx="0">
                  <c:v>2145465.71</c:v>
                </c:pt>
                <c:pt idx="1">
                  <c:v>992109.2</c:v>
                </c:pt>
                <c:pt idx="2">
                  <c:v>638799.91</c:v>
                </c:pt>
                <c:pt idx="3">
                  <c:v>463586.8</c:v>
                </c:pt>
                <c:pt idx="4">
                  <c:v>50969.8</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0"/>
              <c:layout>
                <c:manualLayout>
                  <c:x val="2.4664046007739908E-2"/>
                  <c:y val="7.8800147738030818E-2"/>
                </c:manualLayout>
              </c:layout>
              <c:dLblPos val="outEnd"/>
              <c:showVal val="1"/>
            </c:dLbl>
            <c:dLbl>
              <c:idx val="1"/>
              <c:layout>
                <c:manualLayout>
                  <c:x val="7.0468702879256878E-3"/>
                  <c:y val="7.0505395344553898E-2"/>
                </c:manualLayout>
              </c:layout>
              <c:dLblPos val="outEnd"/>
              <c:showVal val="1"/>
            </c:dLbl>
            <c:dLbl>
              <c:idx val="2"/>
              <c:layout>
                <c:manualLayout>
                  <c:x val="7.0468702879256878E-3"/>
                  <c:y val="4.1473761967384644E-3"/>
                </c:manualLayout>
              </c:layout>
              <c:dLblPos val="outEnd"/>
              <c:showVal val="1"/>
            </c:dLbl>
            <c:dLbl>
              <c:idx val="3"/>
              <c:layout>
                <c:manualLayout>
                  <c:x val="1.4094432699083862E-2"/>
                  <c:y val="0"/>
                </c:manualLayout>
              </c:layout>
              <c:dLblPos val="outEnd"/>
              <c:showVal val="1"/>
            </c:dLbl>
            <c:dLblPos val="outEnd"/>
            <c:showVal val="1"/>
          </c:dLbls>
          <c:cat>
            <c:strRef>
              <c:f>'До ГП'!$C$34:$C$38</c:f>
              <c:strCache>
                <c:ptCount val="5"/>
                <c:pt idx="0">
                  <c:v>Всего</c:v>
                </c:pt>
                <c:pt idx="1">
                  <c:v>ОБ</c:v>
                </c:pt>
                <c:pt idx="2">
                  <c:v>ФБ</c:v>
                </c:pt>
                <c:pt idx="3">
                  <c:v>МБ</c:v>
                </c:pt>
                <c:pt idx="4">
                  <c:v>ВБС</c:v>
                </c:pt>
              </c:strCache>
            </c:strRef>
          </c:cat>
          <c:val>
            <c:numRef>
              <c:f>'До ГП'!$E$34:$E$38</c:f>
              <c:numCache>
                <c:formatCode>#,##0.0</c:formatCode>
                <c:ptCount val="5"/>
                <c:pt idx="0">
                  <c:v>1907163.95</c:v>
                </c:pt>
                <c:pt idx="1">
                  <c:v>971948.07000000007</c:v>
                </c:pt>
                <c:pt idx="2">
                  <c:v>420812.08000000007</c:v>
                </c:pt>
                <c:pt idx="3">
                  <c:v>396032.41000000009</c:v>
                </c:pt>
                <c:pt idx="4">
                  <c:v>118371.38999999998</c:v>
                </c:pt>
              </c:numCache>
            </c:numRef>
          </c:val>
        </c:ser>
        <c:dLbls>
          <c:showVal val="1"/>
        </c:dLbls>
        <c:gapWidth val="28"/>
        <c:axId val="96889088"/>
        <c:axId val="96903168"/>
      </c:barChart>
      <c:catAx>
        <c:axId val="96889088"/>
        <c:scaling>
          <c:orientation val="minMax"/>
        </c:scaling>
        <c:axPos val="b"/>
        <c:tickLblPos val="nextTo"/>
        <c:txPr>
          <a:bodyPr/>
          <a:lstStyle/>
          <a:p>
            <a:pPr>
              <a:defRPr sz="800"/>
            </a:pPr>
            <a:endParaRPr lang="ru-RU"/>
          </a:p>
        </c:txPr>
        <c:crossAx val="96903168"/>
        <c:crosses val="autoZero"/>
        <c:auto val="1"/>
        <c:lblAlgn val="ctr"/>
        <c:lblOffset val="100"/>
      </c:catAx>
      <c:valAx>
        <c:axId val="96903168"/>
        <c:scaling>
          <c:orientation val="minMax"/>
          <c:max val="2500000"/>
          <c:min val="0"/>
        </c:scaling>
        <c:axPos val="l"/>
        <c:majorGridlines/>
        <c:numFmt formatCode="#,##0" sourceLinked="0"/>
        <c:tickLblPos val="nextTo"/>
        <c:txPr>
          <a:bodyPr/>
          <a:lstStyle/>
          <a:p>
            <a:pPr>
              <a:defRPr sz="800"/>
            </a:pPr>
            <a:endParaRPr lang="ru-RU"/>
          </a:p>
        </c:txPr>
        <c:crossAx val="96889088"/>
        <c:crosses val="autoZero"/>
        <c:crossBetween val="between"/>
        <c:majorUnit val="1000000"/>
        <c:dispUnits>
          <c:builtInUnit val="thousands"/>
        </c:dispUnits>
      </c:valAx>
    </c:plotArea>
    <c:legend>
      <c:legendPos val="r"/>
      <c:layout>
        <c:manualLayout>
          <c:xMode val="edge"/>
          <c:yMode val="edge"/>
          <c:x val="0.5061071315137855"/>
          <c:y val="0.18055140971335448"/>
          <c:w val="0.47389470816800655"/>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8.2482889369959192E-2"/>
          <c:y val="0.14246649035282813"/>
          <c:w val="0.81344296856788634"/>
          <c:h val="0.63729716975033279"/>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отчет'!$L$417:$O$417</c:f>
              <c:numCache>
                <c:formatCode>General</c:formatCode>
                <c:ptCount val="4"/>
                <c:pt idx="0">
                  <c:v>3</c:v>
                </c:pt>
                <c:pt idx="1">
                  <c:v>1</c:v>
                </c:pt>
                <c:pt idx="2">
                  <c:v>23</c:v>
                </c:pt>
                <c:pt idx="3">
                  <c:v>1</c:v>
                </c:pt>
              </c:numCache>
            </c:numRef>
          </c:val>
        </c:ser>
        <c:dLbls>
          <c:showVal val="1"/>
        </c:dLbls>
        <c:firstSliceAng val="71"/>
        <c:holeSize val="67"/>
      </c:doughnutChart>
    </c:plotArea>
    <c:legend>
      <c:legendPos val="b"/>
      <c:layout>
        <c:manualLayout>
          <c:xMode val="edge"/>
          <c:yMode val="edge"/>
          <c:x val="2.2640893610990599E-3"/>
          <c:y val="0.77774590609755101"/>
          <c:w val="0.99470524549598005"/>
          <c:h val="0.22225409390244924"/>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a:t>Исполнение государственных программ по источникам финансирования</a:t>
            </a:r>
          </a:p>
        </c:rich>
      </c:tx>
    </c:title>
    <c:plotArea>
      <c:layout>
        <c:manualLayout>
          <c:layoutTarget val="inner"/>
          <c:xMode val="edge"/>
          <c:yMode val="edge"/>
          <c:x val="0.12636666441969924"/>
          <c:y val="6.9972052582548391E-2"/>
          <c:w val="0.858685652471183"/>
          <c:h val="0.59900875913955531"/>
        </c:manualLayout>
      </c:layout>
      <c:barChart>
        <c:barDir val="col"/>
        <c:grouping val="stacked"/>
        <c:ser>
          <c:idx val="2"/>
          <c:order val="1"/>
          <c:tx>
            <c:strRef>
              <c:f>'Лист1 (3)'!$I$3</c:f>
              <c:strCache>
                <c:ptCount val="1"/>
                <c:pt idx="0">
                  <c:v>ОБ</c:v>
                </c:pt>
              </c:strCache>
            </c:strRef>
          </c:tx>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atMod val="105000"/>
                </a:schemeClr>
              </a:solidFill>
              <a:prstDash val="solid"/>
            </a:ln>
            <a:effectLst>
              <a:outerShdw blurRad="40000" dist="20000" dir="5400000" rotWithShape="0">
                <a:srgbClr val="000000">
                  <a:alpha val="38000"/>
                </a:srgbClr>
              </a:outerShdw>
            </a:effectLst>
          </c:spPr>
          <c:dLbls>
            <c:dLbl>
              <c:idx val="0"/>
              <c:layout>
                <c:manualLayout>
                  <c:x val="0"/>
                  <c:y val="-2.6505640918363799E-2"/>
                </c:manualLayout>
              </c:layout>
              <c:numFmt formatCode="#,##0" sourceLinked="0"/>
              <c:spPr/>
              <c:txPr>
                <a:bodyPr/>
                <a:lstStyle/>
                <a:p>
                  <a:pPr>
                    <a:defRPr sz="800"/>
                  </a:pPr>
                  <a:endParaRPr lang="ru-RU"/>
                </a:p>
              </c:txPr>
              <c:dLblPos val="ctr"/>
              <c:showVal val="1"/>
              <c:showSerName val="1"/>
              <c:separator>
</c:separator>
            </c:dLbl>
            <c:dLbl>
              <c:idx val="11"/>
              <c:layout>
                <c:manualLayout>
                  <c:x val="-1.2229806081070452E-2"/>
                  <c:y val="-6.4798067282843593E-3"/>
                </c:manualLayout>
              </c:layout>
              <c:numFmt formatCode="#,##0" sourceLinked="0"/>
              <c:spPr/>
              <c:txPr>
                <a:bodyPr/>
                <a:lstStyle/>
                <a:p>
                  <a:pPr>
                    <a:defRPr sz="800"/>
                  </a:pPr>
                  <a:endParaRPr lang="ru-RU"/>
                </a:p>
              </c:txPr>
              <c:dLblPos val="ctr"/>
              <c:showVal val="1"/>
              <c:showSerName val="1"/>
              <c:separator>
</c:separator>
            </c:dLbl>
            <c:numFmt formatCode="#,##0" sourceLinked="0"/>
            <c:dLblPos val="ctr"/>
            <c:showVal val="1"/>
            <c:showSerName val="1"/>
            <c:separator>
</c:separator>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(3)'!$I$9:$I$20</c:f>
              <c:numCache>
                <c:formatCode>#,##0.0</c:formatCode>
                <c:ptCount val="12"/>
                <c:pt idx="0">
                  <c:v>32032.536769999995</c:v>
                </c:pt>
                <c:pt idx="1">
                  <c:v>2649663.9498799997</c:v>
                </c:pt>
                <c:pt idx="2">
                  <c:v>971948.07000000007</c:v>
                </c:pt>
                <c:pt idx="3">
                  <c:v>1384527.8833000001</c:v>
                </c:pt>
                <c:pt idx="4">
                  <c:v>936921</c:v>
                </c:pt>
                <c:pt idx="5">
                  <c:v>869750.39000000013</c:v>
                </c:pt>
                <c:pt idx="6">
                  <c:v>717642.7779999997</c:v>
                </c:pt>
                <c:pt idx="7">
                  <c:v>318028.68580607994</c:v>
                </c:pt>
                <c:pt idx="8">
                  <c:v>544027.39999999979</c:v>
                </c:pt>
                <c:pt idx="9">
                  <c:v>350680</c:v>
                </c:pt>
                <c:pt idx="10">
                  <c:v>360644.6059299999</c:v>
                </c:pt>
                <c:pt idx="11">
                  <c:v>140214.27900000001</c:v>
                </c:pt>
              </c:numCache>
            </c:numRef>
          </c:val>
        </c:ser>
        <c:ser>
          <c:idx val="3"/>
          <c:order val="2"/>
          <c:tx>
            <c:strRef>
              <c:f>'Лист1 (3)'!$J$3</c:f>
              <c:strCache>
                <c:ptCount val="1"/>
                <c:pt idx="0">
                  <c:v>ФБ</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lumMod val="50000"/>
                </a:schemeClr>
              </a:solidFill>
              <a:prstDash val="solid"/>
            </a:ln>
            <a:effectLst>
              <a:outerShdw blurRad="40000" dist="23000" dir="5400000" rotWithShape="0">
                <a:srgbClr val="000000">
                  <a:alpha val="35000"/>
                </a:srgbClr>
              </a:outerShdw>
            </a:effectLst>
          </c:spPr>
          <c:dLbls>
            <c:dLbl>
              <c:idx val="0"/>
              <c:delete val="1"/>
            </c:dLbl>
            <c:dLbl>
              <c:idx val="4"/>
              <c:delete val="1"/>
            </c:dLbl>
            <c:dLbl>
              <c:idx val="5"/>
              <c:delete val="1"/>
            </c:dLbl>
            <c:dLbl>
              <c:idx val="6"/>
              <c:delete val="1"/>
            </c:dLbl>
            <c:dLbl>
              <c:idx val="7"/>
              <c:delete val="1"/>
            </c:dLbl>
            <c:dLbl>
              <c:idx val="8"/>
              <c:delete val="1"/>
            </c:dLbl>
            <c:dLbl>
              <c:idx val="10"/>
              <c:delete val="1"/>
            </c:dLbl>
            <c:dLbl>
              <c:idx val="11"/>
              <c:layout>
                <c:manualLayout>
                  <c:x val="1.0870938738729291E-2"/>
                  <c:y val="6.4798067282843593E-3"/>
                </c:manualLayout>
              </c:layout>
              <c:numFmt formatCode="#,##0" sourceLinked="0"/>
              <c:spPr/>
              <c:txPr>
                <a:bodyPr/>
                <a:lstStyle/>
                <a:p>
                  <a:pPr>
                    <a:defRPr sz="800"/>
                  </a:pPr>
                  <a:endParaRPr lang="ru-RU"/>
                </a:p>
              </c:txPr>
              <c:dLblPos val="ctr"/>
              <c:showVal val="1"/>
              <c:showSerName val="1"/>
              <c:separator>
</c:separator>
            </c:dLbl>
            <c:numFmt formatCode="#,##0" sourceLinked="0"/>
            <c:dLblPos val="ctr"/>
            <c:showVal val="1"/>
            <c:showSerName val="1"/>
            <c:separator>
</c:separator>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(3)'!$J$9:$J$20</c:f>
              <c:numCache>
                <c:formatCode>General</c:formatCode>
                <c:ptCount val="12"/>
                <c:pt idx="0" formatCode="#,##0.0">
                  <c:v>35511.569639999994</c:v>
                </c:pt>
                <c:pt idx="2" formatCode="#,##0.0">
                  <c:v>420812.08000000007</c:v>
                </c:pt>
                <c:pt idx="4" formatCode="#,##0.0">
                  <c:v>51952.7</c:v>
                </c:pt>
                <c:pt idx="5" formatCode="#,##0.0">
                  <c:v>95764.2</c:v>
                </c:pt>
                <c:pt idx="6" formatCode="#,##0.0">
                  <c:v>40468.099999999991</c:v>
                </c:pt>
                <c:pt idx="7" formatCode="#,##0.0">
                  <c:v>85052.316409999999</c:v>
                </c:pt>
                <c:pt idx="8" formatCode="#,##0.0">
                  <c:v>90646.2</c:v>
                </c:pt>
                <c:pt idx="9" formatCode="#,##0.0">
                  <c:v>285670.3</c:v>
                </c:pt>
                <c:pt idx="10" formatCode="#,##0.0">
                  <c:v>28648.3</c:v>
                </c:pt>
                <c:pt idx="11" formatCode="#,##0.0">
                  <c:v>219461.39999999994</c:v>
                </c:pt>
              </c:numCache>
            </c:numRef>
          </c:val>
        </c:ser>
        <c:ser>
          <c:idx val="4"/>
          <c:order val="3"/>
          <c:tx>
            <c:strRef>
              <c:f>'Лист1 (3)'!$K$3</c:f>
              <c:strCache>
                <c:ptCount val="1"/>
                <c:pt idx="0">
                  <c:v>МБ</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rgbClr val="0070C0"/>
              </a:solidFill>
              <a:prstDash val="solid"/>
            </a:ln>
            <a:effectLst>
              <a:outerShdw blurRad="40000" dist="23000" dir="5400000" rotWithShape="0">
                <a:srgbClr val="000000">
                  <a:alpha val="35000"/>
                </a:srgbClr>
              </a:outerShdw>
            </a:effectLst>
          </c:spPr>
          <c:dLbls>
            <c:dLbl>
              <c:idx val="1"/>
              <c:delete val="1"/>
            </c:dLbl>
            <c:dLbl>
              <c:idx val="5"/>
              <c:delete val="1"/>
            </c:dLbl>
            <c:dLbl>
              <c:idx val="6"/>
              <c:delete val="1"/>
            </c:dLbl>
            <c:dLbl>
              <c:idx val="7"/>
              <c:delete val="1"/>
            </c:dLbl>
            <c:dLbl>
              <c:idx val="10"/>
              <c:delete val="1"/>
            </c:dLbl>
            <c:dLbl>
              <c:idx val="11"/>
              <c:delete val="1"/>
            </c:dLbl>
            <c:numFmt formatCode="#,##0" sourceLinked="0"/>
            <c:dLblPos val="ctr"/>
            <c:showVal val="1"/>
            <c:showSerName val="1"/>
            <c:separator>
</c:separator>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(3)'!$K$9:$K$20</c:f>
              <c:numCache>
                <c:formatCode>#,##0.0</c:formatCode>
                <c:ptCount val="12"/>
                <c:pt idx="1">
                  <c:v>6067.3720602417607</c:v>
                </c:pt>
                <c:pt idx="2">
                  <c:v>396032.41000000009</c:v>
                </c:pt>
                <c:pt idx="5">
                  <c:v>0</c:v>
                </c:pt>
                <c:pt idx="6">
                  <c:v>1343.6999999999998</c:v>
                </c:pt>
                <c:pt idx="7">
                  <c:v>64200</c:v>
                </c:pt>
                <c:pt idx="10">
                  <c:v>28988.799999999996</c:v>
                </c:pt>
                <c:pt idx="11">
                  <c:v>9041.7270000000008</c:v>
                </c:pt>
              </c:numCache>
            </c:numRef>
          </c:val>
        </c:ser>
        <c:ser>
          <c:idx val="5"/>
          <c:order val="4"/>
          <c:tx>
            <c:strRef>
              <c:f>'Лист1 (3)'!$L$3</c:f>
              <c:strCache>
                <c:ptCount val="1"/>
                <c:pt idx="0">
                  <c:v>ВБС</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lumMod val="50000"/>
                </a:schemeClr>
              </a:solidFill>
              <a:prstDash val="solid"/>
            </a:ln>
            <a:effectLst>
              <a:outerShdw blurRad="40000" dist="23000" dir="5400000" rotWithShape="0">
                <a:srgbClr val="000000">
                  <a:alpha val="35000"/>
                </a:srgbClr>
              </a:outerShdw>
            </a:effectLst>
          </c:spPr>
          <c:dLbls>
            <c:dLbl>
              <c:idx val="2"/>
              <c:delete val="1"/>
            </c:dLbl>
            <c:dLbl>
              <c:idx val="4"/>
              <c:delete val="1"/>
            </c:dLbl>
            <c:dLbl>
              <c:idx val="7"/>
              <c:numFmt formatCode="#,##0" sourceLinked="0"/>
              <c:spPr/>
              <c:txPr>
                <a:bodyPr/>
                <a:lstStyle/>
                <a:p>
                  <a:pPr>
                    <a:defRPr sz="800"/>
                  </a:pPr>
                  <a:endParaRPr lang="ru-RU"/>
                </a:p>
              </c:txPr>
              <c:dLblPos val="ctr"/>
              <c:showVal val="1"/>
              <c:showSerName val="1"/>
            </c:dLbl>
            <c:dLbl>
              <c:idx val="8"/>
              <c:delete val="1"/>
            </c:dLbl>
            <c:dLbl>
              <c:idx val="10"/>
              <c:delete val="1"/>
            </c:dLbl>
            <c:dLbl>
              <c:idx val="11"/>
              <c:delete val="1"/>
            </c:dLbl>
            <c:numFmt formatCode="#,##0" sourceLinked="0"/>
            <c:dLblPos val="ctr"/>
            <c:showVal val="1"/>
            <c:showSerName val="1"/>
            <c:separator>
</c:separator>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(3)'!$L$9:$L$20</c:f>
              <c:numCache>
                <c:formatCode>General</c:formatCode>
                <c:ptCount val="12"/>
                <c:pt idx="0" formatCode="#,##0.0">
                  <c:v>3588771.5050292998</c:v>
                </c:pt>
                <c:pt idx="2" formatCode="#,##0.0">
                  <c:v>118371.38999999998</c:v>
                </c:pt>
                <c:pt idx="4" formatCode="#,##0.0">
                  <c:v>24761.599999999995</c:v>
                </c:pt>
                <c:pt idx="7" formatCode="#,##0.0">
                  <c:v>220723.4</c:v>
                </c:pt>
                <c:pt idx="8" formatCode="#,##0.0">
                  <c:v>24471.18</c:v>
                </c:pt>
                <c:pt idx="10" formatCode="#,##0.0">
                  <c:v>8914.2000000000007</c:v>
                </c:pt>
                <c:pt idx="11" formatCode="#,##0.0">
                  <c:v>32950.699999999997</c:v>
                </c:pt>
              </c:numCache>
            </c:numRef>
          </c:val>
        </c:ser>
        <c:dLbls/>
        <c:gapWidth val="34"/>
        <c:overlap val="100"/>
        <c:axId val="89291008"/>
        <c:axId val="89309184"/>
      </c:barChart>
      <c:lineChart>
        <c:grouping val="standard"/>
        <c:ser>
          <c:idx val="1"/>
          <c:order val="0"/>
          <c:tx>
            <c:strRef>
              <c:f>'Лист1 (3)'!$C$3</c:f>
              <c:strCache>
                <c:ptCount val="1"/>
                <c:pt idx="0">
                  <c:v>План</c:v>
                </c:pt>
              </c:strCache>
            </c:strRef>
          </c:tx>
          <c:spPr>
            <a:ln>
              <a:solidFill>
                <a:srgbClr val="00B050"/>
              </a:solidFill>
            </a:ln>
          </c:spPr>
          <c:marker>
            <c:symbol val="none"/>
          </c:marker>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(3)'!$C$9:$C$20</c:f>
              <c:numCache>
                <c:formatCode>#,##0.0</c:formatCode>
                <c:ptCount val="12"/>
                <c:pt idx="0">
                  <c:v>3751757.3425999996</c:v>
                </c:pt>
                <c:pt idx="1">
                  <c:v>2701942.6448099995</c:v>
                </c:pt>
                <c:pt idx="2">
                  <c:v>2145465.71</c:v>
                </c:pt>
                <c:pt idx="3">
                  <c:v>1406887.1700000002</c:v>
                </c:pt>
                <c:pt idx="4">
                  <c:v>1011478.7000000001</c:v>
                </c:pt>
                <c:pt idx="5">
                  <c:v>968156.28999999992</c:v>
                </c:pt>
                <c:pt idx="6">
                  <c:v>848101.59799999977</c:v>
                </c:pt>
                <c:pt idx="7">
                  <c:v>711532.38500000001</c:v>
                </c:pt>
                <c:pt idx="8">
                  <c:v>832821.50000000012</c:v>
                </c:pt>
                <c:pt idx="9">
                  <c:v>745440.3</c:v>
                </c:pt>
                <c:pt idx="10">
                  <c:v>462318.35399999999</c:v>
                </c:pt>
                <c:pt idx="11">
                  <c:v>416548.43199999997</c:v>
                </c:pt>
              </c:numCache>
            </c:numRef>
          </c:val>
        </c:ser>
        <c:ser>
          <c:idx val="6"/>
          <c:order val="6"/>
          <c:tx>
            <c:strRef>
              <c:f>'Лист1 (3)'!$H$3</c:f>
              <c:strCache>
                <c:ptCount val="1"/>
                <c:pt idx="0">
                  <c:v>Всего расходов</c:v>
                </c:pt>
              </c:strCache>
            </c:strRef>
          </c:tx>
          <c:spPr>
            <a:ln w="28575">
              <a:solidFill>
                <a:schemeClr val="accent2">
                  <a:lumMod val="75000"/>
                </a:schemeClr>
              </a:solidFill>
            </a:ln>
          </c:spPr>
          <c:marker>
            <c:symbol val="none"/>
          </c:marker>
          <c:dLbls>
            <c:txPr>
              <a:bodyPr/>
              <a:lstStyle/>
              <a:p>
                <a:pPr>
                  <a:defRPr sz="1000" b="1"/>
                </a:pPr>
                <a:endParaRPr lang="ru-RU"/>
              </a:p>
            </c:txPr>
            <c:dLblPos val="t"/>
            <c:showVal val="1"/>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(3)'!$H$9:$H$20</c:f>
              <c:numCache>
                <c:formatCode>#,##0.0</c:formatCode>
                <c:ptCount val="12"/>
                <c:pt idx="0">
                  <c:v>3656315.6114392993</c:v>
                </c:pt>
                <c:pt idx="1">
                  <c:v>2655731.3219402414</c:v>
                </c:pt>
                <c:pt idx="2">
                  <c:v>1907163.95</c:v>
                </c:pt>
                <c:pt idx="3">
                  <c:v>1384527.8833000001</c:v>
                </c:pt>
                <c:pt idx="4">
                  <c:v>1013635.3</c:v>
                </c:pt>
                <c:pt idx="5">
                  <c:v>965514.59000000008</c:v>
                </c:pt>
                <c:pt idx="6">
                  <c:v>759454.57799999986</c:v>
                </c:pt>
                <c:pt idx="7">
                  <c:v>688004.40221607999</c:v>
                </c:pt>
                <c:pt idx="8">
                  <c:v>659144.77999999991</c:v>
                </c:pt>
                <c:pt idx="9">
                  <c:v>636350.30000000005</c:v>
                </c:pt>
                <c:pt idx="10">
                  <c:v>427195.90592999995</c:v>
                </c:pt>
                <c:pt idx="11">
                  <c:v>401668.10600000003</c:v>
                </c:pt>
              </c:numCache>
            </c:numRef>
          </c:val>
        </c:ser>
        <c:dLbls/>
        <c:marker val="1"/>
        <c:axId val="89291008"/>
        <c:axId val="89309184"/>
      </c:lineChart>
      <c:lineChart>
        <c:grouping val="standard"/>
        <c:ser>
          <c:idx val="0"/>
          <c:order val="5"/>
          <c:tx>
            <c:strRef>
              <c:f>'Лист1 (3)'!$M$3</c:f>
              <c:strCache>
                <c:ptCount val="1"/>
                <c:pt idx="0">
                  <c:v>Степень освоения средств</c:v>
                </c:pt>
              </c:strCache>
            </c:strRef>
          </c:tx>
          <c:spPr>
            <a:ln>
              <a:noFill/>
            </a:ln>
          </c:spPr>
          <c:marker>
            <c:symbol val="diamond"/>
            <c:size val="8"/>
            <c:spPr>
              <a:solidFill>
                <a:schemeClr val="accent2">
                  <a:lumMod val="50000"/>
                </a:schemeClr>
              </a:solidFill>
              <a:ln>
                <a:solidFill>
                  <a:schemeClr val="bg2">
                    <a:lumMod val="10000"/>
                  </a:schemeClr>
                </a:solidFill>
              </a:ln>
            </c:spPr>
          </c:marker>
          <c:dLbls>
            <c:txPr>
              <a:bodyPr/>
              <a:lstStyle/>
              <a:p>
                <a:pPr>
                  <a:defRPr sz="1000"/>
                </a:pPr>
                <a:endParaRPr lang="ru-RU"/>
              </a:p>
            </c:txPr>
            <c:dLblPos val="t"/>
            <c:showVal val="1"/>
          </c:dLbls>
          <c:cat>
            <c:strRef>
              <c:f>'Лист1 (3)'!$A$9:$A$20</c:f>
              <c:strCache>
                <c:ptCount val="12"/>
                <c:pt idx="0">
                  <c:v>Развитие рыбохозяйственного комплекса</c:v>
                </c:pt>
                <c:pt idx="1">
                  <c:v>Развитие транспортной системы</c:v>
                </c:pt>
                <c:pt idx="2">
                  <c:v>Обеспечение комфортной среды проживания</c:v>
                </c:pt>
                <c:pt idx="3">
                  <c:v>Обеспечение общественного порядка и безопасности</c:v>
                </c:pt>
                <c:pt idx="4">
                  <c:v>Государственное управление</c:v>
                </c:pt>
                <c:pt idx="5">
                  <c:v>Развитие физической культуры и спорта </c:v>
                </c:pt>
                <c:pt idx="6">
                  <c:v>Развитие культуры</c:v>
                </c:pt>
                <c:pt idx="7">
                  <c:v>Развитие экономического потенциала</c:v>
                </c:pt>
                <c:pt idx="8">
                  <c:v>Развитие сельского хозяйства</c:v>
                </c:pt>
                <c:pt idx="9">
                  <c:v>Управление развитием рынка труда </c:v>
                </c:pt>
                <c:pt idx="10">
                  <c:v>Информационное общество</c:v>
                </c:pt>
                <c:pt idx="11">
                  <c:v>Охрана окружающей среды</c:v>
                </c:pt>
              </c:strCache>
            </c:strRef>
          </c:cat>
          <c:val>
            <c:numRef>
              <c:f>'Лист1 (3)'!$M$9:$M$20</c:f>
              <c:numCache>
                <c:formatCode>0.0%</c:formatCode>
                <c:ptCount val="12"/>
                <c:pt idx="0">
                  <c:v>0.97456079313099753</c:v>
                </c:pt>
                <c:pt idx="1">
                  <c:v>0.98289700080846554</c:v>
                </c:pt>
                <c:pt idx="2">
                  <c:v>0.88892772376212892</c:v>
                </c:pt>
                <c:pt idx="3">
                  <c:v>0.98410726376870727</c:v>
                </c:pt>
                <c:pt idx="4">
                  <c:v>1.0021321259656779</c:v>
                </c:pt>
                <c:pt idx="5">
                  <c:v>0.99727141162301403</c:v>
                </c:pt>
                <c:pt idx="6">
                  <c:v>0.89547594273015396</c:v>
                </c:pt>
                <c:pt idx="7">
                  <c:v>0.96693336342811731</c:v>
                </c:pt>
                <c:pt idx="8">
                  <c:v>0.79145985064026314</c:v>
                </c:pt>
                <c:pt idx="9">
                  <c:v>0.85365695951775078</c:v>
                </c:pt>
                <c:pt idx="10">
                  <c:v>0.92402973456251758</c:v>
                </c:pt>
                <c:pt idx="11">
                  <c:v>0.96427708075012042</c:v>
                </c:pt>
              </c:numCache>
            </c:numRef>
          </c:val>
        </c:ser>
        <c:dLbls/>
        <c:marker val="1"/>
        <c:axId val="89312640"/>
        <c:axId val="89311104"/>
      </c:lineChart>
      <c:catAx>
        <c:axId val="89291008"/>
        <c:scaling>
          <c:orientation val="minMax"/>
        </c:scaling>
        <c:axPos val="b"/>
        <c:tickLblPos val="nextTo"/>
        <c:crossAx val="89309184"/>
        <c:crosses val="autoZero"/>
        <c:auto val="1"/>
        <c:lblAlgn val="ctr"/>
        <c:lblOffset val="100"/>
      </c:catAx>
      <c:valAx>
        <c:axId val="89309184"/>
        <c:scaling>
          <c:orientation val="minMax"/>
          <c:max val="4000000"/>
          <c:min val="0"/>
        </c:scaling>
        <c:axPos val="l"/>
        <c:numFmt formatCode="#,##0.0" sourceLinked="1"/>
        <c:majorTickMark val="none"/>
        <c:tickLblPos val="none"/>
        <c:crossAx val="89291008"/>
        <c:crosses val="autoZero"/>
        <c:crossBetween val="between"/>
        <c:dispUnits>
          <c:builtInUnit val="thousands"/>
          <c:dispUnitsLbl>
            <c:tx>
              <c:rich>
                <a:bodyPr/>
                <a:lstStyle/>
                <a:p>
                  <a:pPr>
                    <a:defRPr/>
                  </a:pPr>
                  <a:r>
                    <a:rPr lang="ru-RU"/>
                    <a:t>Млн. рублей</a:t>
                  </a:r>
                </a:p>
              </c:rich>
            </c:tx>
          </c:dispUnitsLbl>
        </c:dispUnits>
      </c:valAx>
      <c:valAx>
        <c:axId val="89311104"/>
        <c:scaling>
          <c:orientation val="minMax"/>
          <c:max val="1.1000000000000001"/>
          <c:min val="0.5"/>
        </c:scaling>
        <c:axPos val="r"/>
        <c:numFmt formatCode="0.0%" sourceLinked="1"/>
        <c:majorTickMark val="none"/>
        <c:tickLblPos val="none"/>
        <c:crossAx val="89312640"/>
        <c:crosses val="max"/>
        <c:crossBetween val="between"/>
      </c:valAx>
      <c:catAx>
        <c:axId val="89312640"/>
        <c:scaling>
          <c:orientation val="minMax"/>
        </c:scaling>
        <c:delete val="1"/>
        <c:axPos val="b"/>
        <c:tickLblPos val="none"/>
        <c:crossAx val="89311104"/>
        <c:crosses val="autoZero"/>
        <c:auto val="1"/>
        <c:lblAlgn val="ctr"/>
        <c:lblOffset val="100"/>
      </c:catAx>
    </c:plotArea>
    <c:legend>
      <c:legendPos val="b"/>
      <c:legendEntry>
        <c:idx val="5"/>
        <c:txPr>
          <a:bodyPr/>
          <a:lstStyle/>
          <a:p>
            <a:pPr>
              <a:defRPr sz="1100" b="1"/>
            </a:pPr>
            <a:endParaRPr lang="ru-RU"/>
          </a:p>
        </c:txPr>
      </c:legendEntry>
      <c:layout>
        <c:manualLayout>
          <c:xMode val="edge"/>
          <c:yMode val="edge"/>
          <c:x val="0.2672368844959549"/>
          <c:y val="0.9504307847038217"/>
          <c:w val="0.71420564887603488"/>
          <c:h val="3.5117439550799302E-2"/>
        </c:manualLayout>
      </c:layout>
      <c:txPr>
        <a:bodyPr/>
        <a:lstStyle/>
        <a:p>
          <a:pPr>
            <a:defRPr sz="1100"/>
          </a:pPr>
          <a:endParaRPr lang="ru-RU"/>
        </a:p>
      </c:txPr>
    </c:legend>
    <c:plotVisOnly val="1"/>
    <c:dispBlanksAs val="gap"/>
  </c:chart>
  <c:txPr>
    <a:bodyPr/>
    <a:lstStyle/>
    <a:p>
      <a:pPr>
        <a:defRPr sz="900">
          <a:latin typeface="Times New Roman" pitchFamily="18" charset="0"/>
          <a:cs typeface="Times New Roman" pitchFamily="18" charset="0"/>
        </a:defRPr>
      </a:pPr>
      <a:endParaRPr lang="ru-RU"/>
    </a:p>
  </c:tx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2417020970548269E-2"/>
          <c:y val="0.16085082882174265"/>
          <c:w val="0.88208818092078589"/>
          <c:h val="0.77346063410511534"/>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dLbls>
            <c:dLbl>
              <c:idx val="0"/>
              <c:layout>
                <c:manualLayout>
                  <c:x val="0"/>
                  <c:y val="7.6322321785125035E-3"/>
                </c:manualLayout>
              </c:layout>
              <c:dLblPos val="outEnd"/>
              <c:showVal val="1"/>
            </c:dLbl>
            <c:dLbl>
              <c:idx val="1"/>
              <c:layout>
                <c:manualLayout>
                  <c:x val="3.2202784960439195E-17"/>
                  <c:y val="-1.5264464357025005E-2"/>
                </c:manualLayout>
              </c:layout>
              <c:dLblPos val="outEnd"/>
              <c:showVal val="1"/>
            </c:dLbl>
            <c:dLbl>
              <c:idx val="4"/>
              <c:layout>
                <c:manualLayout>
                  <c:x val="-1.4052286677713018E-2"/>
                  <c:y val="7.6322321785125035E-3"/>
                </c:manualLayout>
              </c:layout>
              <c:dLblPos val="outEnd"/>
              <c:showVal val="1"/>
            </c:dLbl>
            <c:dLblPos val="outEnd"/>
            <c:showVal val="1"/>
          </c:dLbls>
          <c:cat>
            <c:strRef>
              <c:f>'До ГП'!$C$39:$C$43</c:f>
              <c:strCache>
                <c:ptCount val="5"/>
                <c:pt idx="0">
                  <c:v>Всего</c:v>
                </c:pt>
                <c:pt idx="1">
                  <c:v>ОБ</c:v>
                </c:pt>
                <c:pt idx="2">
                  <c:v>ФБ</c:v>
                </c:pt>
                <c:pt idx="3">
                  <c:v>МБ</c:v>
                </c:pt>
                <c:pt idx="4">
                  <c:v>ВБС</c:v>
                </c:pt>
              </c:strCache>
            </c:strRef>
          </c:cat>
          <c:val>
            <c:numRef>
              <c:f>'До ГП'!$D$39:$D$43</c:f>
              <c:numCache>
                <c:formatCode>#,##0.0</c:formatCode>
                <c:ptCount val="5"/>
                <c:pt idx="0">
                  <c:v>7412392.7600000007</c:v>
                </c:pt>
                <c:pt idx="1">
                  <c:v>3473709.8600000003</c:v>
                </c:pt>
                <c:pt idx="2">
                  <c:v>209421.59999999998</c:v>
                </c:pt>
                <c:pt idx="3">
                  <c:v>25389.999999999985</c:v>
                </c:pt>
                <c:pt idx="4">
                  <c:v>3703871.3</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1"/>
              <c:layout>
                <c:manualLayout>
                  <c:x val="2.8104573355426037E-2"/>
                  <c:y val="1.5264464357025078E-2"/>
                </c:manualLayout>
              </c:layout>
              <c:dLblPos val="outEnd"/>
              <c:showVal val="1"/>
            </c:dLbl>
            <c:dLbl>
              <c:idx val="2"/>
              <c:layout>
                <c:manualLayout>
                  <c:x val="7.0261433388565733E-3"/>
                  <c:y val="3.8161160892562513E-3"/>
                </c:manualLayout>
              </c:layout>
              <c:dLblPos val="outEnd"/>
              <c:showVal val="1"/>
            </c:dLbl>
            <c:dLblPos val="outEnd"/>
            <c:showVal val="1"/>
          </c:dLbls>
          <c:cat>
            <c:strRef>
              <c:f>'До ГП'!$C$39:$C$43</c:f>
              <c:strCache>
                <c:ptCount val="5"/>
                <c:pt idx="0">
                  <c:v>Всего</c:v>
                </c:pt>
                <c:pt idx="1">
                  <c:v>ОБ</c:v>
                </c:pt>
                <c:pt idx="2">
                  <c:v>ФБ</c:v>
                </c:pt>
                <c:pt idx="3">
                  <c:v>МБ</c:v>
                </c:pt>
                <c:pt idx="4">
                  <c:v>ВБС</c:v>
                </c:pt>
              </c:strCache>
            </c:strRef>
          </c:cat>
          <c:val>
            <c:numRef>
              <c:f>'До ГП'!$E$39:$E$43</c:f>
              <c:numCache>
                <c:formatCode>#,##0.0</c:formatCode>
                <c:ptCount val="5"/>
                <c:pt idx="0">
                  <c:v>7722603.1740000006</c:v>
                </c:pt>
                <c:pt idx="1">
                  <c:v>3450120.9289999986</c:v>
                </c:pt>
                <c:pt idx="2">
                  <c:v>208815.77500000005</c:v>
                </c:pt>
                <c:pt idx="3">
                  <c:v>14037.17</c:v>
                </c:pt>
                <c:pt idx="4">
                  <c:v>4049629.3</c:v>
                </c:pt>
              </c:numCache>
            </c:numRef>
          </c:val>
        </c:ser>
        <c:dLbls>
          <c:showVal val="1"/>
        </c:dLbls>
        <c:gapWidth val="40"/>
        <c:axId val="118711808"/>
        <c:axId val="118713344"/>
      </c:barChart>
      <c:catAx>
        <c:axId val="118711808"/>
        <c:scaling>
          <c:orientation val="minMax"/>
        </c:scaling>
        <c:axPos val="b"/>
        <c:tickLblPos val="nextTo"/>
        <c:txPr>
          <a:bodyPr/>
          <a:lstStyle/>
          <a:p>
            <a:pPr>
              <a:defRPr sz="800"/>
            </a:pPr>
            <a:endParaRPr lang="ru-RU"/>
          </a:p>
        </c:txPr>
        <c:crossAx val="118713344"/>
        <c:crosses val="autoZero"/>
        <c:auto val="1"/>
        <c:lblAlgn val="ctr"/>
        <c:lblOffset val="100"/>
      </c:catAx>
      <c:valAx>
        <c:axId val="118713344"/>
        <c:scaling>
          <c:orientation val="minMax"/>
          <c:max val="8000000"/>
          <c:min val="0"/>
        </c:scaling>
        <c:axPos val="l"/>
        <c:majorGridlines/>
        <c:numFmt formatCode="#,##0" sourceLinked="0"/>
        <c:tickLblPos val="nextTo"/>
        <c:txPr>
          <a:bodyPr/>
          <a:lstStyle/>
          <a:p>
            <a:pPr>
              <a:defRPr sz="800"/>
            </a:pPr>
            <a:endParaRPr lang="ru-RU"/>
          </a:p>
        </c:txPr>
        <c:crossAx val="118711808"/>
        <c:crosses val="autoZero"/>
        <c:crossBetween val="between"/>
        <c:majorUnit val="5000000"/>
        <c:dispUnits>
          <c:builtInUnit val="thousands"/>
        </c:dispUnits>
      </c:valAx>
    </c:plotArea>
    <c:legend>
      <c:legendPos val="r"/>
      <c:layout>
        <c:manualLayout>
          <c:xMode val="edge"/>
          <c:yMode val="edge"/>
          <c:x val="0.29340317061633664"/>
          <c:y val="0.35668990803630468"/>
          <c:w val="0.48179626589360341"/>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b="0"/>
            </a:pPr>
            <a:r>
              <a:rPr lang="ru-RU" sz="1200" b="0"/>
              <a:t>Достижение </a:t>
            </a:r>
            <a:r>
              <a:rPr lang="ru-RU" sz="1200" b="0" i="0" u="none" strike="noStrike" baseline="0">
                <a:effectLst/>
              </a:rPr>
              <a:t>плановых значений </a:t>
            </a:r>
            <a:r>
              <a:rPr lang="ru-RU" sz="1200" b="0"/>
              <a:t>показателей, единиц</a:t>
            </a:r>
          </a:p>
        </c:rich>
      </c:tx>
    </c:title>
    <c:plotArea>
      <c:layout>
        <c:manualLayout>
          <c:layoutTarget val="inner"/>
          <c:xMode val="edge"/>
          <c:yMode val="edge"/>
          <c:x val="0.13382199108751047"/>
          <c:y val="0.12834013153093252"/>
          <c:w val="0.6894118682092113"/>
          <c:h val="0.66086979086419573"/>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отчет'!$L$454:$O$454</c:f>
              <c:numCache>
                <c:formatCode>General</c:formatCode>
                <c:ptCount val="4"/>
                <c:pt idx="0">
                  <c:v>1</c:v>
                </c:pt>
                <c:pt idx="1">
                  <c:v>6</c:v>
                </c:pt>
                <c:pt idx="2">
                  <c:v>12</c:v>
                </c:pt>
                <c:pt idx="3">
                  <c:v>1</c:v>
                </c:pt>
              </c:numCache>
            </c:numRef>
          </c:val>
        </c:ser>
        <c:dLbls>
          <c:showVal val="1"/>
        </c:dLbls>
        <c:firstSliceAng val="38"/>
        <c:holeSize val="67"/>
      </c:doughnutChart>
    </c:plotArea>
    <c:legend>
      <c:legendPos val="b"/>
      <c:layout>
        <c:manualLayout>
          <c:xMode val="edge"/>
          <c:yMode val="edge"/>
          <c:x val="0"/>
          <c:y val="0.76897199899446156"/>
          <c:w val="1"/>
          <c:h val="0.23102785782901056"/>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5722449271204421E-2"/>
          <c:y val="0.14980499065654551"/>
          <c:w val="0.59921204018232188"/>
          <c:h val="0.77658311717878925"/>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dLbls>
            <c:dLblPos val="inEnd"/>
            <c:showVal val="1"/>
          </c:dLbls>
          <c:cat>
            <c:strRef>
              <c:f>'До ГП'!$C$44</c:f>
              <c:strCache>
                <c:ptCount val="1"/>
                <c:pt idx="0">
                  <c:v>ОБ</c:v>
                </c:pt>
              </c:strCache>
            </c:strRef>
          </c:cat>
          <c:val>
            <c:numRef>
              <c:f>'До ГП'!$D$44</c:f>
              <c:numCache>
                <c:formatCode>#,##0.0</c:formatCode>
                <c:ptCount val="1"/>
                <c:pt idx="0">
                  <c:v>1406887.1700000002</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ГП'!$C$44</c:f>
              <c:strCache>
                <c:ptCount val="1"/>
                <c:pt idx="0">
                  <c:v>ОБ</c:v>
                </c:pt>
              </c:strCache>
            </c:strRef>
          </c:cat>
          <c:val>
            <c:numRef>
              <c:f>'До ГП'!$E$44</c:f>
              <c:numCache>
                <c:formatCode>#,##0.0</c:formatCode>
                <c:ptCount val="1"/>
                <c:pt idx="0">
                  <c:v>1384527.8833000001</c:v>
                </c:pt>
              </c:numCache>
            </c:numRef>
          </c:val>
        </c:ser>
        <c:dLbls>
          <c:showVal val="1"/>
        </c:dLbls>
        <c:gapWidth val="114"/>
        <c:axId val="96187136"/>
        <c:axId val="96188672"/>
      </c:barChart>
      <c:catAx>
        <c:axId val="96187136"/>
        <c:scaling>
          <c:orientation val="minMax"/>
        </c:scaling>
        <c:axPos val="b"/>
        <c:tickLblPos val="nextTo"/>
        <c:txPr>
          <a:bodyPr/>
          <a:lstStyle/>
          <a:p>
            <a:pPr>
              <a:defRPr sz="800"/>
            </a:pPr>
            <a:endParaRPr lang="ru-RU"/>
          </a:p>
        </c:txPr>
        <c:crossAx val="96188672"/>
        <c:crosses val="autoZero"/>
        <c:auto val="1"/>
        <c:lblAlgn val="ctr"/>
        <c:lblOffset val="100"/>
      </c:catAx>
      <c:valAx>
        <c:axId val="96188672"/>
        <c:scaling>
          <c:orientation val="minMax"/>
          <c:max val="1450000"/>
          <c:min val="0"/>
        </c:scaling>
        <c:axPos val="l"/>
        <c:majorGridlines/>
        <c:numFmt formatCode="#,##0" sourceLinked="0"/>
        <c:tickLblPos val="nextTo"/>
        <c:txPr>
          <a:bodyPr/>
          <a:lstStyle/>
          <a:p>
            <a:pPr>
              <a:defRPr sz="800"/>
            </a:pPr>
            <a:endParaRPr lang="ru-RU"/>
          </a:p>
        </c:txPr>
        <c:crossAx val="96187136"/>
        <c:crosses val="autoZero"/>
        <c:crossBetween val="between"/>
        <c:majorUnit val="500000"/>
        <c:dispUnits>
          <c:builtInUnit val="thousands"/>
        </c:dispUnits>
      </c:valAx>
    </c:plotArea>
    <c:legend>
      <c:legendPos val="r"/>
      <c:layout>
        <c:manualLayout>
          <c:xMode val="edge"/>
          <c:yMode val="edge"/>
          <c:x val="0.62636317765376603"/>
          <c:y val="0.22968284989093149"/>
          <c:w val="0.34581818004305581"/>
          <c:h val="0.26828265295731196"/>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5.9525723928314879E-2"/>
          <c:y val="0.13161042478765198"/>
          <c:w val="0.85998572178477695"/>
          <c:h val="0.62535320083244383"/>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отчет'!$L$485:$O$485</c:f>
              <c:numCache>
                <c:formatCode>General</c:formatCode>
                <c:ptCount val="4"/>
                <c:pt idx="0">
                  <c:v>5</c:v>
                </c:pt>
                <c:pt idx="1">
                  <c:v>3</c:v>
                </c:pt>
                <c:pt idx="2">
                  <c:v>24</c:v>
                </c:pt>
                <c:pt idx="3">
                  <c:v>4</c:v>
                </c:pt>
              </c:numCache>
            </c:numRef>
          </c:val>
        </c:ser>
        <c:dLbls>
          <c:showVal val="1"/>
        </c:dLbls>
        <c:firstSliceAng val="67"/>
        <c:holeSize val="67"/>
      </c:doughnutChart>
    </c:plotArea>
    <c:legend>
      <c:legendPos val="b"/>
      <c:layout>
        <c:manualLayout>
          <c:xMode val="edge"/>
          <c:yMode val="edge"/>
          <c:x val="0"/>
          <c:y val="0.76127608830746063"/>
          <c:w val="1"/>
          <c:h val="0.2387239879468479"/>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6.6452940934602509E-2"/>
          <c:y val="8.5826313595617335E-2"/>
          <c:w val="0.91240046295582489"/>
          <c:h val="0.85424272664091061"/>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ГП'!$C$45:$C$49</c:f>
              <c:strCache>
                <c:ptCount val="5"/>
                <c:pt idx="0">
                  <c:v>Всего</c:v>
                </c:pt>
                <c:pt idx="1">
                  <c:v>ОБ</c:v>
                </c:pt>
                <c:pt idx="2">
                  <c:v>ФБ</c:v>
                </c:pt>
                <c:pt idx="3">
                  <c:v>МБ</c:v>
                </c:pt>
                <c:pt idx="4">
                  <c:v>ВБС</c:v>
                </c:pt>
              </c:strCache>
            </c:strRef>
          </c:cat>
          <c:val>
            <c:numRef>
              <c:f>'До ГП'!$D$45:$D$49</c:f>
              <c:numCache>
                <c:formatCode>#,##0.0</c:formatCode>
                <c:ptCount val="5"/>
                <c:pt idx="0">
                  <c:v>416548.43199999997</c:v>
                </c:pt>
                <c:pt idx="1">
                  <c:v>148409.06199999998</c:v>
                </c:pt>
                <c:pt idx="2">
                  <c:v>224413.8</c:v>
                </c:pt>
                <c:pt idx="3">
                  <c:v>16199.869999999995</c:v>
                </c:pt>
                <c:pt idx="4">
                  <c:v>27525.699999999993</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ГП'!$C$45:$C$49</c:f>
              <c:strCache>
                <c:ptCount val="5"/>
                <c:pt idx="0">
                  <c:v>Всего</c:v>
                </c:pt>
                <c:pt idx="1">
                  <c:v>ОБ</c:v>
                </c:pt>
                <c:pt idx="2">
                  <c:v>ФБ</c:v>
                </c:pt>
                <c:pt idx="3">
                  <c:v>МБ</c:v>
                </c:pt>
                <c:pt idx="4">
                  <c:v>ВБС</c:v>
                </c:pt>
              </c:strCache>
            </c:strRef>
          </c:cat>
          <c:val>
            <c:numRef>
              <c:f>'До ГП'!$E$45:$E$49</c:f>
              <c:numCache>
                <c:formatCode>#,##0.0</c:formatCode>
                <c:ptCount val="5"/>
                <c:pt idx="0">
                  <c:v>401668.10600000003</c:v>
                </c:pt>
                <c:pt idx="1">
                  <c:v>140214.27900000001</c:v>
                </c:pt>
                <c:pt idx="2">
                  <c:v>219461.39999999994</c:v>
                </c:pt>
                <c:pt idx="3">
                  <c:v>9041.7270000000008</c:v>
                </c:pt>
                <c:pt idx="4">
                  <c:v>32950.699999999997</c:v>
                </c:pt>
              </c:numCache>
            </c:numRef>
          </c:val>
        </c:ser>
        <c:dLbls>
          <c:showVal val="1"/>
        </c:dLbls>
        <c:gapWidth val="36"/>
        <c:axId val="96330112"/>
        <c:axId val="96331648"/>
      </c:barChart>
      <c:catAx>
        <c:axId val="96330112"/>
        <c:scaling>
          <c:orientation val="minMax"/>
        </c:scaling>
        <c:axPos val="b"/>
        <c:tickLblPos val="nextTo"/>
        <c:txPr>
          <a:bodyPr/>
          <a:lstStyle/>
          <a:p>
            <a:pPr>
              <a:defRPr sz="800"/>
            </a:pPr>
            <a:endParaRPr lang="ru-RU"/>
          </a:p>
        </c:txPr>
        <c:crossAx val="96331648"/>
        <c:crosses val="autoZero"/>
        <c:auto val="1"/>
        <c:lblAlgn val="ctr"/>
        <c:lblOffset val="100"/>
      </c:catAx>
      <c:valAx>
        <c:axId val="96331648"/>
        <c:scaling>
          <c:orientation val="minMax"/>
          <c:max val="460000"/>
          <c:min val="0"/>
        </c:scaling>
        <c:axPos val="l"/>
        <c:majorGridlines/>
        <c:numFmt formatCode="#,##0" sourceLinked="0"/>
        <c:tickLblPos val="nextTo"/>
        <c:txPr>
          <a:bodyPr/>
          <a:lstStyle/>
          <a:p>
            <a:pPr>
              <a:defRPr sz="800"/>
            </a:pPr>
            <a:endParaRPr lang="ru-RU"/>
          </a:p>
        </c:txPr>
        <c:crossAx val="96330112"/>
        <c:crosses val="autoZero"/>
        <c:crossBetween val="between"/>
        <c:majorUnit val="250000"/>
        <c:dispUnits>
          <c:builtInUnit val="thousands"/>
        </c:dispUnits>
      </c:valAx>
    </c:plotArea>
    <c:legend>
      <c:legendPos val="r"/>
      <c:layout>
        <c:manualLayout>
          <c:xMode val="edge"/>
          <c:yMode val="edge"/>
          <c:x val="0.39879532069918427"/>
          <c:y val="0.21662475436643722"/>
          <c:w val="0.54503181832641578"/>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8.2469845840923026E-2"/>
          <c:y val="0.139886956468805"/>
          <c:w val="0.8515196210900674"/>
          <c:h val="0.62831053425493666"/>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отчет'!$L$540:$O$540</c:f>
              <c:numCache>
                <c:formatCode>General</c:formatCode>
                <c:ptCount val="4"/>
                <c:pt idx="0">
                  <c:v>1</c:v>
                </c:pt>
                <c:pt idx="1">
                  <c:v>2</c:v>
                </c:pt>
                <c:pt idx="2">
                  <c:v>10</c:v>
                </c:pt>
                <c:pt idx="3">
                  <c:v>2</c:v>
                </c:pt>
              </c:numCache>
            </c:numRef>
          </c:val>
        </c:ser>
        <c:dLbls>
          <c:showVal val="1"/>
        </c:dLbls>
        <c:firstSliceAng val="81"/>
        <c:holeSize val="67"/>
      </c:doughnutChart>
    </c:plotArea>
    <c:legend>
      <c:legendPos val="b"/>
      <c:layout>
        <c:manualLayout>
          <c:xMode val="edge"/>
          <c:yMode val="edge"/>
          <c:x val="2.0933878524343605E-3"/>
          <c:y val="0.7785874871189139"/>
          <c:w val="0.99226015643517429"/>
          <c:h val="0.2214125128810861"/>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8.4094772492237971E-2"/>
          <c:y val="0.12438418134133776"/>
          <c:w val="0.89797269685214254"/>
          <c:h val="0.81504328197135023"/>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dLbls>
            <c:dLbl>
              <c:idx val="0"/>
              <c:layout>
                <c:manualLayout>
                  <c:x val="0"/>
                  <c:y val="-2.7058615840704198E-2"/>
                </c:manualLayout>
              </c:layout>
              <c:dLblPos val="outEnd"/>
              <c:showVal val="1"/>
            </c:dLbl>
            <c:dLbl>
              <c:idx val="3"/>
              <c:layout>
                <c:manualLayout>
                  <c:x val="-1.7565363206068822E-2"/>
                  <c:y val="-1.5462066194688113E-2"/>
                </c:manualLayout>
              </c:layout>
              <c:dLblPos val="outEnd"/>
              <c:showVal val="1"/>
            </c:dLbl>
            <c:dLblPos val="outEnd"/>
            <c:showVal val="1"/>
          </c:dLbls>
          <c:cat>
            <c:strRef>
              <c:f>'До ГП'!$C$50:$C$53</c:f>
              <c:strCache>
                <c:ptCount val="4"/>
                <c:pt idx="0">
                  <c:v>Всего</c:v>
                </c:pt>
                <c:pt idx="1">
                  <c:v>ОБ</c:v>
                </c:pt>
                <c:pt idx="2">
                  <c:v>ФБ</c:v>
                </c:pt>
                <c:pt idx="3">
                  <c:v>ВБС</c:v>
                </c:pt>
              </c:strCache>
            </c:strRef>
          </c:cat>
          <c:val>
            <c:numRef>
              <c:f>'До ГП'!$D$50:$D$53</c:f>
              <c:numCache>
                <c:formatCode>#,##0.0</c:formatCode>
                <c:ptCount val="4"/>
                <c:pt idx="0">
                  <c:v>3751757.3425999996</c:v>
                </c:pt>
                <c:pt idx="1">
                  <c:v>32341.3426</c:v>
                </c:pt>
                <c:pt idx="2">
                  <c:v>35786.9</c:v>
                </c:pt>
                <c:pt idx="3">
                  <c:v>3683629.1</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0"/>
              <c:layout>
                <c:manualLayout>
                  <c:x val="2.7078089371909152E-2"/>
                  <c:y val="0"/>
                </c:manualLayout>
              </c:layout>
              <c:dLblPos val="outEnd"/>
              <c:showVal val="1"/>
            </c:dLbl>
            <c:dLbl>
              <c:idx val="3"/>
              <c:layout>
                <c:manualLayout>
                  <c:x val="1.8052059581272765E-2"/>
                  <c:y val="0"/>
                </c:manualLayout>
              </c:layout>
              <c:dLblPos val="outEnd"/>
              <c:showVal val="1"/>
            </c:dLbl>
            <c:dLblPos val="outEnd"/>
            <c:showVal val="1"/>
          </c:dLbls>
          <c:cat>
            <c:strRef>
              <c:f>'До ГП'!$C$50:$C$53</c:f>
              <c:strCache>
                <c:ptCount val="4"/>
                <c:pt idx="0">
                  <c:v>Всего</c:v>
                </c:pt>
                <c:pt idx="1">
                  <c:v>ОБ</c:v>
                </c:pt>
                <c:pt idx="2">
                  <c:v>ФБ</c:v>
                </c:pt>
                <c:pt idx="3">
                  <c:v>ВБС</c:v>
                </c:pt>
              </c:strCache>
            </c:strRef>
          </c:cat>
          <c:val>
            <c:numRef>
              <c:f>'До ГП'!$E$50:$E$53</c:f>
              <c:numCache>
                <c:formatCode>#,##0.0</c:formatCode>
                <c:ptCount val="4"/>
                <c:pt idx="0">
                  <c:v>3656315.6114392993</c:v>
                </c:pt>
                <c:pt idx="1">
                  <c:v>32032.536769999995</c:v>
                </c:pt>
                <c:pt idx="2">
                  <c:v>35511.569639999994</c:v>
                </c:pt>
                <c:pt idx="3">
                  <c:v>3588771.5050292998</c:v>
                </c:pt>
              </c:numCache>
            </c:numRef>
          </c:val>
        </c:ser>
        <c:dLbls>
          <c:showVal val="1"/>
        </c:dLbls>
        <c:gapWidth val="70"/>
        <c:axId val="113315200"/>
        <c:axId val="113337472"/>
      </c:barChart>
      <c:catAx>
        <c:axId val="113315200"/>
        <c:scaling>
          <c:orientation val="minMax"/>
        </c:scaling>
        <c:axPos val="b"/>
        <c:tickLblPos val="nextTo"/>
        <c:txPr>
          <a:bodyPr/>
          <a:lstStyle/>
          <a:p>
            <a:pPr>
              <a:defRPr sz="800"/>
            </a:pPr>
            <a:endParaRPr lang="ru-RU"/>
          </a:p>
        </c:txPr>
        <c:crossAx val="113337472"/>
        <c:crosses val="autoZero"/>
        <c:auto val="1"/>
        <c:lblAlgn val="ctr"/>
        <c:lblOffset val="100"/>
      </c:catAx>
      <c:valAx>
        <c:axId val="113337472"/>
        <c:scaling>
          <c:orientation val="minMax"/>
          <c:max val="4000000"/>
          <c:min val="0"/>
        </c:scaling>
        <c:axPos val="l"/>
        <c:majorGridlines/>
        <c:numFmt formatCode="#,##0" sourceLinked="0"/>
        <c:tickLblPos val="nextTo"/>
        <c:txPr>
          <a:bodyPr/>
          <a:lstStyle/>
          <a:p>
            <a:pPr>
              <a:defRPr sz="800"/>
            </a:pPr>
            <a:endParaRPr lang="ru-RU"/>
          </a:p>
        </c:txPr>
        <c:crossAx val="113315200"/>
        <c:crosses val="autoZero"/>
        <c:crossBetween val="between"/>
        <c:majorUnit val="2500000"/>
        <c:dispUnits>
          <c:builtInUnit val="thousands"/>
        </c:dispUnits>
      </c:valAx>
    </c:plotArea>
    <c:legend>
      <c:legendPos val="r"/>
      <c:layout>
        <c:manualLayout>
          <c:xMode val="edge"/>
          <c:yMode val="edge"/>
          <c:x val="0.37350496742096606"/>
          <c:y val="0.22415156477327378"/>
          <c:w val="0.33459057074705917"/>
          <c:h val="0.23442922138115688"/>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6.0037172043165679E-2"/>
          <c:y val="0.1351282519798355"/>
          <c:w val="0.85999863896016571"/>
          <c:h val="0.60860490118173971"/>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отчет'!$L$566:$O$566</c:f>
              <c:numCache>
                <c:formatCode>General</c:formatCode>
                <c:ptCount val="4"/>
                <c:pt idx="0">
                  <c:v>7</c:v>
                </c:pt>
                <c:pt idx="1">
                  <c:v>10</c:v>
                </c:pt>
                <c:pt idx="2">
                  <c:v>13</c:v>
                </c:pt>
                <c:pt idx="3">
                  <c:v>1</c:v>
                </c:pt>
              </c:numCache>
            </c:numRef>
          </c:val>
        </c:ser>
        <c:dLbls>
          <c:showVal val="1"/>
        </c:dLbls>
        <c:firstSliceAng val="0"/>
        <c:holeSize val="67"/>
      </c:doughnutChart>
    </c:plotArea>
    <c:legend>
      <c:legendPos val="b"/>
      <c:layout>
        <c:manualLayout>
          <c:xMode val="edge"/>
          <c:yMode val="edge"/>
          <c:x val="6.7334881308641302E-4"/>
          <c:y val="0.75549354123459755"/>
          <c:w val="0.99932665118691344"/>
          <c:h val="0.24450645876540264"/>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5798139573026839E-2"/>
          <c:y val="0.10505175936371362"/>
          <c:w val="0.88118838851789494"/>
          <c:h val="0.83918062770768809"/>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ГП'!$C$54:$C$57</c:f>
              <c:strCache>
                <c:ptCount val="4"/>
                <c:pt idx="0">
                  <c:v>Всего</c:v>
                </c:pt>
                <c:pt idx="1">
                  <c:v>ОБ</c:v>
                </c:pt>
                <c:pt idx="2">
                  <c:v>ФБ</c:v>
                </c:pt>
                <c:pt idx="3">
                  <c:v>ВБС</c:v>
                </c:pt>
              </c:strCache>
            </c:strRef>
          </c:cat>
          <c:val>
            <c:numRef>
              <c:f>'До ГП'!$D$54:$D$57</c:f>
              <c:numCache>
                <c:formatCode>#,##0.0</c:formatCode>
                <c:ptCount val="4"/>
                <c:pt idx="0">
                  <c:v>832821.50000000012</c:v>
                </c:pt>
                <c:pt idx="1">
                  <c:v>609556.90000000014</c:v>
                </c:pt>
                <c:pt idx="2">
                  <c:v>163291.79999999999</c:v>
                </c:pt>
                <c:pt idx="3">
                  <c:v>59972.800000000003</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cat>
            <c:strRef>
              <c:f>'До ГП'!$C$54:$C$57</c:f>
              <c:strCache>
                <c:ptCount val="4"/>
                <c:pt idx="0">
                  <c:v>Всего</c:v>
                </c:pt>
                <c:pt idx="1">
                  <c:v>ОБ</c:v>
                </c:pt>
                <c:pt idx="2">
                  <c:v>ФБ</c:v>
                </c:pt>
                <c:pt idx="3">
                  <c:v>ВБС</c:v>
                </c:pt>
              </c:strCache>
            </c:strRef>
          </c:cat>
          <c:val>
            <c:numRef>
              <c:f>'До ГП'!$E$54:$E$57</c:f>
              <c:numCache>
                <c:formatCode>#,##0.0</c:formatCode>
                <c:ptCount val="4"/>
                <c:pt idx="0">
                  <c:v>659144.77999999991</c:v>
                </c:pt>
                <c:pt idx="1">
                  <c:v>544027.39999999979</c:v>
                </c:pt>
                <c:pt idx="2">
                  <c:v>90646.2</c:v>
                </c:pt>
                <c:pt idx="3">
                  <c:v>24471.18</c:v>
                </c:pt>
              </c:numCache>
            </c:numRef>
          </c:val>
        </c:ser>
        <c:dLbls>
          <c:showVal val="1"/>
        </c:dLbls>
        <c:gapWidth val="60"/>
        <c:axId val="100760576"/>
        <c:axId val="100778752"/>
      </c:barChart>
      <c:catAx>
        <c:axId val="100760576"/>
        <c:scaling>
          <c:orientation val="minMax"/>
        </c:scaling>
        <c:axPos val="b"/>
        <c:tickLblPos val="nextTo"/>
        <c:txPr>
          <a:bodyPr/>
          <a:lstStyle/>
          <a:p>
            <a:pPr>
              <a:defRPr sz="800"/>
            </a:pPr>
            <a:endParaRPr lang="ru-RU"/>
          </a:p>
        </c:txPr>
        <c:crossAx val="100778752"/>
        <c:crosses val="autoZero"/>
        <c:auto val="1"/>
        <c:lblAlgn val="ctr"/>
        <c:lblOffset val="100"/>
      </c:catAx>
      <c:valAx>
        <c:axId val="100778752"/>
        <c:scaling>
          <c:orientation val="minMax"/>
          <c:max val="900000"/>
          <c:min val="0"/>
        </c:scaling>
        <c:axPos val="l"/>
        <c:majorGridlines/>
        <c:numFmt formatCode="#,##0" sourceLinked="0"/>
        <c:tickLblPos val="nextTo"/>
        <c:txPr>
          <a:bodyPr/>
          <a:lstStyle/>
          <a:p>
            <a:pPr>
              <a:defRPr sz="800"/>
            </a:pPr>
            <a:endParaRPr lang="ru-RU"/>
          </a:p>
        </c:txPr>
        <c:crossAx val="100760576"/>
        <c:crosses val="autoZero"/>
        <c:crossBetween val="between"/>
        <c:majorUnit val="500000"/>
        <c:dispUnits>
          <c:builtInUnit val="thousands"/>
        </c:dispUnits>
      </c:valAx>
    </c:plotArea>
    <c:legend>
      <c:legendPos val="r"/>
      <c:layout>
        <c:manualLayout>
          <c:xMode val="edge"/>
          <c:yMode val="edge"/>
          <c:x val="0.44549343522928747"/>
          <c:y val="0.13905475357247019"/>
          <c:w val="0.50185925411909105"/>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7.5152522504844693E-2"/>
          <c:y val="0.17528324373711476"/>
          <c:w val="0.83878513963924484"/>
          <c:h val="0.66136708826618262"/>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3"/>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отчет'!$L$607:$O$607</c:f>
              <c:numCache>
                <c:formatCode>General</c:formatCode>
                <c:ptCount val="4"/>
                <c:pt idx="0">
                  <c:v>3</c:v>
                </c:pt>
                <c:pt idx="1">
                  <c:v>2</c:v>
                </c:pt>
                <c:pt idx="2">
                  <c:v>23</c:v>
                </c:pt>
                <c:pt idx="3">
                  <c:v>0</c:v>
                </c:pt>
              </c:numCache>
            </c:numRef>
          </c:val>
        </c:ser>
        <c:dLbls>
          <c:showVal val="1"/>
        </c:dLbls>
        <c:firstSliceAng val="57"/>
        <c:holeSize val="67"/>
      </c:doughnutChart>
    </c:plotArea>
    <c:legend>
      <c:legendPos val="b"/>
      <c:legendEntry>
        <c:idx val="3"/>
        <c:delete val="1"/>
      </c:legendEntry>
      <c:layout>
        <c:manualLayout>
          <c:xMode val="edge"/>
          <c:yMode val="edge"/>
          <c:x val="7.7090830731219731E-3"/>
          <c:y val="0.81095484451726763"/>
          <c:w val="0.98458183385375608"/>
          <c:h val="0.18904515548273235"/>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title>
      <c:tx>
        <c:rich>
          <a:bodyPr/>
          <a:lstStyle/>
          <a:p>
            <a:pPr algn="ctr" rtl="0">
              <a:defRPr sz="1200"/>
            </a:pPr>
            <a:r>
              <a:rPr lang="ru-RU" sz="1200"/>
              <a:t>Достижение плановых значений показателей государственых программ</a:t>
            </a:r>
          </a:p>
        </c:rich>
      </c:tx>
    </c:title>
    <c:plotArea>
      <c:layout>
        <c:manualLayout>
          <c:layoutTarget val="inner"/>
          <c:xMode val="edge"/>
          <c:yMode val="edge"/>
          <c:x val="3.1456717445160744E-2"/>
          <c:y val="8.1883534336688907E-2"/>
          <c:w val="0.48479678423392492"/>
          <c:h val="0.90381615668294613"/>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7030A0"/>
              </a:solidFill>
              <a:ln>
                <a:solidFill>
                  <a:schemeClr val="tx1">
                    <a:lumMod val="50000"/>
                    <a:lumOff val="50000"/>
                  </a:schemeClr>
                </a:solidFill>
              </a:ln>
            </c:spPr>
          </c:dPt>
          <c:dLbls>
            <c:spPr>
              <a:solidFill>
                <a:schemeClr val="bg1"/>
              </a:solidFill>
              <a:ln>
                <a:solidFill>
                  <a:schemeClr val="tx1">
                    <a:lumMod val="50000"/>
                    <a:lumOff val="50000"/>
                  </a:schemeClr>
                </a:solidFill>
              </a:ln>
            </c:spPr>
            <c:txPr>
              <a:bodyPr/>
              <a:lstStyle/>
              <a:p>
                <a:pPr>
                  <a:defRPr sz="1100"/>
                </a:pPr>
                <a:endParaRPr lang="ru-RU"/>
              </a:p>
            </c:txPr>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отчет'!$L$923:$O$923</c:f>
              <c:numCache>
                <c:formatCode>General</c:formatCode>
                <c:ptCount val="4"/>
                <c:pt idx="0">
                  <c:v>40</c:v>
                </c:pt>
                <c:pt idx="1">
                  <c:v>72</c:v>
                </c:pt>
                <c:pt idx="2">
                  <c:v>525</c:v>
                </c:pt>
                <c:pt idx="3">
                  <c:v>40</c:v>
                </c:pt>
              </c:numCache>
            </c:numRef>
          </c:val>
        </c:ser>
        <c:dLbls>
          <c:showVal val="1"/>
        </c:dLbls>
        <c:firstSliceAng val="72"/>
        <c:holeSize val="67"/>
      </c:doughnutChart>
    </c:plotArea>
    <c:legend>
      <c:legendPos val="r"/>
      <c:layout>
        <c:manualLayout>
          <c:xMode val="edge"/>
          <c:yMode val="edge"/>
          <c:x val="0.54580872784252932"/>
          <c:y val="0.31436238743108535"/>
          <c:w val="0.44154867337954506"/>
          <c:h val="0.45102910395694212"/>
        </c:manualLayout>
      </c:layout>
      <c:txPr>
        <a:bodyPr/>
        <a:lstStyle/>
        <a:p>
          <a:pPr>
            <a:defRPr sz="12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5595533672404018E-2"/>
          <c:y val="9.6864260650420239E-2"/>
          <c:w val="0.88646285276022085"/>
          <c:h val="0.84397342704646283"/>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ГП'!$C$58:$C$60</c:f>
              <c:strCache>
                <c:ptCount val="3"/>
                <c:pt idx="0">
                  <c:v>Всего</c:v>
                </c:pt>
                <c:pt idx="1">
                  <c:v>ОБ</c:v>
                </c:pt>
                <c:pt idx="2">
                  <c:v>МБ</c:v>
                </c:pt>
              </c:strCache>
            </c:strRef>
          </c:cat>
          <c:val>
            <c:numRef>
              <c:f>'До ГП'!$D$58:$D$60</c:f>
              <c:numCache>
                <c:formatCode>#,##0.0</c:formatCode>
                <c:ptCount val="3"/>
                <c:pt idx="0">
                  <c:v>2701942.6448099995</c:v>
                </c:pt>
                <c:pt idx="1">
                  <c:v>2684904.8448099997</c:v>
                </c:pt>
                <c:pt idx="2">
                  <c:v>17037.8</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ГП'!$C$58:$C$60</c:f>
              <c:strCache>
                <c:ptCount val="3"/>
                <c:pt idx="0">
                  <c:v>Всего</c:v>
                </c:pt>
                <c:pt idx="1">
                  <c:v>ОБ</c:v>
                </c:pt>
                <c:pt idx="2">
                  <c:v>МБ</c:v>
                </c:pt>
              </c:strCache>
            </c:strRef>
          </c:cat>
          <c:val>
            <c:numRef>
              <c:f>'До ГП'!$E$58:$E$60</c:f>
              <c:numCache>
                <c:formatCode>#,##0.0</c:formatCode>
                <c:ptCount val="3"/>
                <c:pt idx="0">
                  <c:v>2655731.3219402414</c:v>
                </c:pt>
                <c:pt idx="1">
                  <c:v>2649663.9498799997</c:v>
                </c:pt>
                <c:pt idx="2">
                  <c:v>6067.3720602417607</c:v>
                </c:pt>
              </c:numCache>
            </c:numRef>
          </c:val>
        </c:ser>
        <c:dLbls>
          <c:showVal val="1"/>
        </c:dLbls>
        <c:gapWidth val="94"/>
        <c:axId val="113494656"/>
        <c:axId val="113500544"/>
      </c:barChart>
      <c:catAx>
        <c:axId val="113494656"/>
        <c:scaling>
          <c:orientation val="minMax"/>
        </c:scaling>
        <c:axPos val="b"/>
        <c:tickLblPos val="nextTo"/>
        <c:txPr>
          <a:bodyPr/>
          <a:lstStyle/>
          <a:p>
            <a:pPr>
              <a:defRPr sz="800"/>
            </a:pPr>
            <a:endParaRPr lang="ru-RU"/>
          </a:p>
        </c:txPr>
        <c:crossAx val="113500544"/>
        <c:crosses val="autoZero"/>
        <c:auto val="1"/>
        <c:lblAlgn val="ctr"/>
        <c:lblOffset val="100"/>
      </c:catAx>
      <c:valAx>
        <c:axId val="113500544"/>
        <c:scaling>
          <c:orientation val="minMax"/>
          <c:max val="2900000"/>
          <c:min val="0"/>
        </c:scaling>
        <c:axPos val="l"/>
        <c:majorGridlines/>
        <c:numFmt formatCode="#,##0" sourceLinked="0"/>
        <c:tickLblPos val="nextTo"/>
        <c:txPr>
          <a:bodyPr/>
          <a:lstStyle/>
          <a:p>
            <a:pPr>
              <a:defRPr sz="800"/>
            </a:pPr>
            <a:endParaRPr lang="ru-RU"/>
          </a:p>
        </c:txPr>
        <c:crossAx val="113494656"/>
        <c:crosses val="autoZero"/>
        <c:crossBetween val="between"/>
        <c:majorUnit val="1000000"/>
        <c:dispUnits>
          <c:builtInUnit val="thousands"/>
        </c:dispUnits>
      </c:valAx>
    </c:plotArea>
    <c:legend>
      <c:legendPos val="r"/>
      <c:layout>
        <c:manualLayout>
          <c:xMode val="edge"/>
          <c:yMode val="edge"/>
          <c:x val="0.67586786991888148"/>
          <c:y val="0.26922803294304909"/>
          <c:w val="0.29991154678363391"/>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4.329021414598775E-2"/>
          <c:y val="0.12292327838105209"/>
          <c:w val="0.92497259842519697"/>
          <c:h val="0.62974713945070604"/>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1"/>
              <c:layout>
                <c:manualLayout>
                  <c:x val="2.6676402038381942E-2"/>
                  <c:y val="1.4503313138229716E-2"/>
                </c:manualLayout>
              </c:layout>
              <c:showVal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отчет'!$L$650:$O$650</c:f>
              <c:numCache>
                <c:formatCode>General</c:formatCode>
                <c:ptCount val="4"/>
                <c:pt idx="0">
                  <c:v>4</c:v>
                </c:pt>
                <c:pt idx="1">
                  <c:v>1</c:v>
                </c:pt>
                <c:pt idx="2">
                  <c:v>54</c:v>
                </c:pt>
                <c:pt idx="3">
                  <c:v>4</c:v>
                </c:pt>
              </c:numCache>
            </c:numRef>
          </c:val>
        </c:ser>
        <c:dLbls>
          <c:showVal val="1"/>
        </c:dLbls>
        <c:firstSliceAng val="82"/>
        <c:holeSize val="67"/>
      </c:doughnutChart>
    </c:plotArea>
    <c:legend>
      <c:legendPos val="b"/>
      <c:layout>
        <c:manualLayout>
          <c:xMode val="edge"/>
          <c:yMode val="edge"/>
          <c:x val="0"/>
          <c:y val="0.77288868303226799"/>
          <c:w val="0.9950239357070807"/>
          <c:h val="0.22700609810123587"/>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7.1896566185458713E-2"/>
          <c:y val="0.10190914773672227"/>
          <c:w val="0.90606118523183343"/>
          <c:h val="0.84181639516682383"/>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ГП'!$C$61:$C$65</c:f>
              <c:strCache>
                <c:ptCount val="5"/>
                <c:pt idx="0">
                  <c:v>Всего</c:v>
                </c:pt>
                <c:pt idx="1">
                  <c:v>ОБ</c:v>
                </c:pt>
                <c:pt idx="2">
                  <c:v>ФБ</c:v>
                </c:pt>
                <c:pt idx="3">
                  <c:v>МБ</c:v>
                </c:pt>
                <c:pt idx="4">
                  <c:v>ВБС</c:v>
                </c:pt>
              </c:strCache>
            </c:strRef>
          </c:cat>
          <c:val>
            <c:numRef>
              <c:f>'До ГП'!$D$61:$D$65</c:f>
              <c:numCache>
                <c:formatCode>#,##0.0</c:formatCode>
                <c:ptCount val="5"/>
                <c:pt idx="0">
                  <c:v>711532.38500000001</c:v>
                </c:pt>
                <c:pt idx="1">
                  <c:v>323276.185</c:v>
                </c:pt>
                <c:pt idx="2">
                  <c:v>102359.7</c:v>
                </c:pt>
                <c:pt idx="3">
                  <c:v>64200</c:v>
                </c:pt>
                <c:pt idx="4">
                  <c:v>221696.4</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ГП'!$C$61:$C$65</c:f>
              <c:strCache>
                <c:ptCount val="5"/>
                <c:pt idx="0">
                  <c:v>Всего</c:v>
                </c:pt>
                <c:pt idx="1">
                  <c:v>ОБ</c:v>
                </c:pt>
                <c:pt idx="2">
                  <c:v>ФБ</c:v>
                </c:pt>
                <c:pt idx="3">
                  <c:v>МБ</c:v>
                </c:pt>
                <c:pt idx="4">
                  <c:v>ВБС</c:v>
                </c:pt>
              </c:strCache>
            </c:strRef>
          </c:cat>
          <c:val>
            <c:numRef>
              <c:f>'До ГП'!$E$61:$E$65</c:f>
              <c:numCache>
                <c:formatCode>#,##0.0</c:formatCode>
                <c:ptCount val="5"/>
                <c:pt idx="0">
                  <c:v>688004.40221607999</c:v>
                </c:pt>
                <c:pt idx="1">
                  <c:v>318028.68580607994</c:v>
                </c:pt>
                <c:pt idx="2">
                  <c:v>85052.316409999999</c:v>
                </c:pt>
                <c:pt idx="3">
                  <c:v>64200</c:v>
                </c:pt>
                <c:pt idx="4">
                  <c:v>220723.4</c:v>
                </c:pt>
              </c:numCache>
            </c:numRef>
          </c:val>
        </c:ser>
        <c:dLbls>
          <c:showVal val="1"/>
        </c:dLbls>
        <c:gapWidth val="52"/>
        <c:axId val="118675328"/>
        <c:axId val="118676864"/>
      </c:barChart>
      <c:catAx>
        <c:axId val="118675328"/>
        <c:scaling>
          <c:orientation val="minMax"/>
        </c:scaling>
        <c:axPos val="b"/>
        <c:tickLblPos val="nextTo"/>
        <c:txPr>
          <a:bodyPr/>
          <a:lstStyle/>
          <a:p>
            <a:pPr>
              <a:defRPr sz="800"/>
            </a:pPr>
            <a:endParaRPr lang="ru-RU"/>
          </a:p>
        </c:txPr>
        <c:crossAx val="118676864"/>
        <c:crosses val="autoZero"/>
        <c:auto val="1"/>
        <c:lblAlgn val="ctr"/>
        <c:lblOffset val="100"/>
      </c:catAx>
      <c:valAx>
        <c:axId val="118676864"/>
        <c:scaling>
          <c:orientation val="minMax"/>
          <c:max val="800000"/>
          <c:min val="0"/>
        </c:scaling>
        <c:axPos val="l"/>
        <c:majorGridlines/>
        <c:numFmt formatCode="#,##0" sourceLinked="0"/>
        <c:tickLblPos val="nextTo"/>
        <c:txPr>
          <a:bodyPr/>
          <a:lstStyle/>
          <a:p>
            <a:pPr>
              <a:defRPr sz="800"/>
            </a:pPr>
            <a:endParaRPr lang="ru-RU"/>
          </a:p>
        </c:txPr>
        <c:crossAx val="118675328"/>
        <c:crosses val="autoZero"/>
        <c:crossBetween val="between"/>
        <c:majorUnit val="500000"/>
        <c:dispUnits>
          <c:builtInUnit val="thousands"/>
        </c:dispUnits>
      </c:valAx>
    </c:plotArea>
    <c:legend>
      <c:legendPos val="r"/>
      <c:layout>
        <c:manualLayout>
          <c:xMode val="edge"/>
          <c:yMode val="edge"/>
          <c:x val="0.49494257267275987"/>
          <c:y val="0.33208245637175915"/>
          <c:w val="0.48387133148698702"/>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7.7303087503465026E-2"/>
          <c:y val="0.15083300559799853"/>
          <c:w val="0.82483914687504511"/>
          <c:h val="0.6691628105466626"/>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dLbl>
              <c:idx val="1"/>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отчет'!$L$741:$O$741</c:f>
              <c:numCache>
                <c:formatCode>General</c:formatCode>
                <c:ptCount val="4"/>
                <c:pt idx="0">
                  <c:v>0</c:v>
                </c:pt>
                <c:pt idx="1">
                  <c:v>0</c:v>
                </c:pt>
                <c:pt idx="2">
                  <c:v>23</c:v>
                </c:pt>
                <c:pt idx="3">
                  <c:v>1</c:v>
                </c:pt>
              </c:numCache>
            </c:numRef>
          </c:val>
        </c:ser>
        <c:dLbls>
          <c:showVal val="1"/>
        </c:dLbls>
        <c:firstSliceAng val="96"/>
        <c:holeSize val="67"/>
      </c:doughnutChart>
    </c:plotArea>
    <c:legend>
      <c:legendPos val="b"/>
      <c:legendEntry>
        <c:idx val="0"/>
        <c:delete val="1"/>
      </c:legendEntry>
      <c:legendEntry>
        <c:idx val="1"/>
        <c:delete val="1"/>
      </c:legendEntry>
      <c:layout>
        <c:manualLayout>
          <c:xMode val="edge"/>
          <c:yMode val="edge"/>
          <c:x val="0"/>
          <c:y val="0.8316419958663509"/>
          <c:w val="0.99453549299322042"/>
          <c:h val="0.1681859640021087"/>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7.4447269773660438E-2"/>
          <c:y val="0.13327625580328198"/>
          <c:w val="0.91103943656626052"/>
          <c:h val="0.78284552369317306"/>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ГП'!$C$66:$C$70</c:f>
              <c:strCache>
                <c:ptCount val="5"/>
                <c:pt idx="0">
                  <c:v>Всего</c:v>
                </c:pt>
                <c:pt idx="1">
                  <c:v>ОБ</c:v>
                </c:pt>
                <c:pt idx="2">
                  <c:v>ФБ</c:v>
                </c:pt>
                <c:pt idx="3">
                  <c:v>МБ</c:v>
                </c:pt>
                <c:pt idx="4">
                  <c:v>ВБС</c:v>
                </c:pt>
              </c:strCache>
            </c:strRef>
          </c:cat>
          <c:val>
            <c:numRef>
              <c:f>'До ГП'!$D$66:$D$70</c:f>
              <c:numCache>
                <c:formatCode>#,##0.0</c:formatCode>
                <c:ptCount val="5"/>
                <c:pt idx="0">
                  <c:v>462318.35399999999</c:v>
                </c:pt>
                <c:pt idx="1">
                  <c:v>364260.75400000002</c:v>
                </c:pt>
                <c:pt idx="2">
                  <c:v>28658.3</c:v>
                </c:pt>
                <c:pt idx="3">
                  <c:v>58278.3</c:v>
                </c:pt>
                <c:pt idx="4">
                  <c:v>11121</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2"/>
              <c:layout>
                <c:manualLayout>
                  <c:x val="-2.8074848669546973E-7"/>
                  <c:y val="1.7002766966033627E-2"/>
                </c:manualLayout>
              </c:layout>
              <c:dLblPos val="outEnd"/>
              <c:showVal val="1"/>
            </c:dLbl>
            <c:dLbl>
              <c:idx val="3"/>
              <c:dLblPos val="outEnd"/>
              <c:showVal val="1"/>
            </c:dLbl>
            <c:dLblPos val="inEnd"/>
            <c:showVal val="1"/>
          </c:dLbls>
          <c:cat>
            <c:strRef>
              <c:f>'До ГП'!$C$66:$C$70</c:f>
              <c:strCache>
                <c:ptCount val="5"/>
                <c:pt idx="0">
                  <c:v>Всего</c:v>
                </c:pt>
                <c:pt idx="1">
                  <c:v>ОБ</c:v>
                </c:pt>
                <c:pt idx="2">
                  <c:v>ФБ</c:v>
                </c:pt>
                <c:pt idx="3">
                  <c:v>МБ</c:v>
                </c:pt>
                <c:pt idx="4">
                  <c:v>ВБС</c:v>
                </c:pt>
              </c:strCache>
            </c:strRef>
          </c:cat>
          <c:val>
            <c:numRef>
              <c:f>'До ГП'!$E$66:$E$70</c:f>
              <c:numCache>
                <c:formatCode>#,##0.0</c:formatCode>
                <c:ptCount val="5"/>
                <c:pt idx="0">
                  <c:v>427195.90592999995</c:v>
                </c:pt>
                <c:pt idx="1">
                  <c:v>360644.6059299999</c:v>
                </c:pt>
                <c:pt idx="2">
                  <c:v>28648.3</c:v>
                </c:pt>
                <c:pt idx="3">
                  <c:v>28988.799999999996</c:v>
                </c:pt>
                <c:pt idx="4">
                  <c:v>8914.2000000000007</c:v>
                </c:pt>
              </c:numCache>
            </c:numRef>
          </c:val>
        </c:ser>
        <c:dLbls>
          <c:showVal val="1"/>
        </c:dLbls>
        <c:gapWidth val="48"/>
        <c:axId val="118453760"/>
        <c:axId val="118455296"/>
      </c:barChart>
      <c:catAx>
        <c:axId val="118453760"/>
        <c:scaling>
          <c:orientation val="minMax"/>
        </c:scaling>
        <c:axPos val="b"/>
        <c:tickLblPos val="nextTo"/>
        <c:txPr>
          <a:bodyPr/>
          <a:lstStyle/>
          <a:p>
            <a:pPr>
              <a:defRPr sz="800"/>
            </a:pPr>
            <a:endParaRPr lang="ru-RU"/>
          </a:p>
        </c:txPr>
        <c:crossAx val="118455296"/>
        <c:crosses val="autoZero"/>
        <c:auto val="1"/>
        <c:lblAlgn val="ctr"/>
        <c:lblOffset val="100"/>
      </c:catAx>
      <c:valAx>
        <c:axId val="118455296"/>
        <c:scaling>
          <c:orientation val="minMax"/>
          <c:max val="490000"/>
          <c:min val="0"/>
        </c:scaling>
        <c:axPos val="l"/>
        <c:majorGridlines/>
        <c:numFmt formatCode="#,##0" sourceLinked="0"/>
        <c:tickLblPos val="nextTo"/>
        <c:txPr>
          <a:bodyPr/>
          <a:lstStyle/>
          <a:p>
            <a:pPr>
              <a:defRPr sz="800"/>
            </a:pPr>
            <a:endParaRPr lang="ru-RU"/>
          </a:p>
        </c:txPr>
        <c:crossAx val="118453760"/>
        <c:crosses val="autoZero"/>
        <c:crossBetween val="between"/>
        <c:majorUnit val="250000"/>
        <c:dispUnits>
          <c:builtInUnit val="thousands"/>
        </c:dispUnits>
      </c:valAx>
    </c:plotArea>
    <c:legend>
      <c:legendPos val="r"/>
      <c:layout>
        <c:manualLayout>
          <c:xMode val="edge"/>
          <c:yMode val="edge"/>
          <c:x val="0.49391042494933196"/>
          <c:y val="0.41961090145347141"/>
          <c:w val="0.50334469709624641"/>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a:t>
            </a:r>
            <a:r>
              <a:rPr lang="ru-RU" sz="1100" b="0" i="0" u="none" strike="noStrike" baseline="0">
                <a:effectLst/>
              </a:rPr>
              <a:t>плановых значений </a:t>
            </a:r>
            <a:r>
              <a:rPr lang="ru-RU" sz="1100" b="0"/>
              <a:t>показателей, единиц</a:t>
            </a:r>
          </a:p>
        </c:rich>
      </c:tx>
    </c:title>
    <c:plotArea>
      <c:layout>
        <c:manualLayout>
          <c:layoutTarget val="inner"/>
          <c:xMode val="edge"/>
          <c:yMode val="edge"/>
          <c:x val="0.10407570837570727"/>
          <c:y val="0.15741431288491253"/>
          <c:w val="0.79194482668373301"/>
          <c:h val="0.61748927466269599"/>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отчет'!$L$776:$O$776</c:f>
              <c:numCache>
                <c:formatCode>General</c:formatCode>
                <c:ptCount val="4"/>
                <c:pt idx="0">
                  <c:v>3</c:v>
                </c:pt>
                <c:pt idx="1">
                  <c:v>3</c:v>
                </c:pt>
                <c:pt idx="2">
                  <c:v>30</c:v>
                </c:pt>
                <c:pt idx="3">
                  <c:v>4</c:v>
                </c:pt>
              </c:numCache>
            </c:numRef>
          </c:val>
        </c:ser>
        <c:dLbls>
          <c:showVal val="1"/>
        </c:dLbls>
        <c:firstSliceAng val="82"/>
        <c:holeSize val="67"/>
      </c:doughnutChart>
    </c:plotArea>
    <c:legend>
      <c:legendPos val="b"/>
      <c:layout>
        <c:manualLayout>
          <c:xMode val="edge"/>
          <c:yMode val="edge"/>
          <c:x val="0"/>
          <c:y val="0.75482110089549204"/>
          <c:w val="0.99453549299322042"/>
          <c:h val="0.24517889910450807"/>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9150457241547252E-2"/>
          <c:y val="9.9352093700151897E-2"/>
          <c:w val="0.87935303155542888"/>
          <c:h val="0.83017008252000102"/>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ГП'!$C$71:$C$73</c:f>
              <c:strCache>
                <c:ptCount val="3"/>
                <c:pt idx="0">
                  <c:v>Всего</c:v>
                </c:pt>
                <c:pt idx="1">
                  <c:v>ОБ</c:v>
                </c:pt>
                <c:pt idx="2">
                  <c:v>ФБ</c:v>
                </c:pt>
              </c:strCache>
            </c:strRef>
          </c:cat>
          <c:val>
            <c:numRef>
              <c:f>'До ГП'!$D$71:$D$73</c:f>
              <c:numCache>
                <c:formatCode>#,##0.0</c:formatCode>
                <c:ptCount val="3"/>
                <c:pt idx="0">
                  <c:v>4785735.1507999999</c:v>
                </c:pt>
                <c:pt idx="1">
                  <c:v>3117262.1507999999</c:v>
                </c:pt>
                <c:pt idx="2">
                  <c:v>1668473</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ГП'!$C$71:$C$73</c:f>
              <c:strCache>
                <c:ptCount val="3"/>
                <c:pt idx="0">
                  <c:v>Всего</c:v>
                </c:pt>
                <c:pt idx="1">
                  <c:v>ОБ</c:v>
                </c:pt>
                <c:pt idx="2">
                  <c:v>ФБ</c:v>
                </c:pt>
              </c:strCache>
            </c:strRef>
          </c:cat>
          <c:val>
            <c:numRef>
              <c:f>'До ГП'!$E$71:$E$73</c:f>
              <c:numCache>
                <c:formatCode>#,##0.0</c:formatCode>
                <c:ptCount val="3"/>
                <c:pt idx="0">
                  <c:v>4771478.9943000004</c:v>
                </c:pt>
                <c:pt idx="1">
                  <c:v>3103005.9942999999</c:v>
                </c:pt>
                <c:pt idx="2">
                  <c:v>1668473</c:v>
                </c:pt>
              </c:numCache>
            </c:numRef>
          </c:val>
        </c:ser>
        <c:dLbls>
          <c:showVal val="1"/>
        </c:dLbls>
        <c:gapWidth val="94"/>
        <c:axId val="132813952"/>
        <c:axId val="132815488"/>
      </c:barChart>
      <c:catAx>
        <c:axId val="132813952"/>
        <c:scaling>
          <c:orientation val="minMax"/>
        </c:scaling>
        <c:axPos val="b"/>
        <c:tickLblPos val="nextTo"/>
        <c:txPr>
          <a:bodyPr/>
          <a:lstStyle/>
          <a:p>
            <a:pPr>
              <a:defRPr sz="800"/>
            </a:pPr>
            <a:endParaRPr lang="ru-RU"/>
          </a:p>
        </c:txPr>
        <c:crossAx val="132815488"/>
        <c:crosses val="autoZero"/>
        <c:auto val="1"/>
        <c:lblAlgn val="ctr"/>
        <c:lblOffset val="100"/>
      </c:catAx>
      <c:valAx>
        <c:axId val="132815488"/>
        <c:scaling>
          <c:orientation val="minMax"/>
          <c:max val="5200000"/>
          <c:min val="0"/>
        </c:scaling>
        <c:axPos val="l"/>
        <c:majorGridlines/>
        <c:numFmt formatCode="#,##0" sourceLinked="0"/>
        <c:tickLblPos val="nextTo"/>
        <c:txPr>
          <a:bodyPr/>
          <a:lstStyle/>
          <a:p>
            <a:pPr>
              <a:defRPr sz="800"/>
            </a:pPr>
            <a:endParaRPr lang="ru-RU"/>
          </a:p>
        </c:txPr>
        <c:crossAx val="132813952"/>
        <c:crosses val="autoZero"/>
        <c:crossBetween val="between"/>
        <c:majorUnit val="2000000"/>
        <c:dispUnits>
          <c:builtInUnit val="thousands"/>
        </c:dispUnits>
      </c:valAx>
    </c:plotArea>
    <c:legend>
      <c:legendPos val="r"/>
      <c:layout>
        <c:manualLayout>
          <c:xMode val="edge"/>
          <c:yMode val="edge"/>
          <c:x val="0.48485264961418195"/>
          <c:y val="0.18720678982923747"/>
          <c:w val="0.49187930488652476"/>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b="0"/>
            </a:pPr>
            <a:r>
              <a:rPr lang="ru-RU" sz="1200" b="0"/>
              <a:t>Достижение </a:t>
            </a:r>
            <a:r>
              <a:rPr lang="ru-RU" sz="1200" b="0" i="0" u="none" strike="noStrike" baseline="0">
                <a:effectLst/>
              </a:rPr>
              <a:t>плановых значений </a:t>
            </a:r>
            <a:r>
              <a:rPr lang="ru-RU" sz="1200" b="0"/>
              <a:t>показателей, единиц</a:t>
            </a:r>
          </a:p>
        </c:rich>
      </c:tx>
    </c:title>
    <c:plotArea>
      <c:layout>
        <c:manualLayout>
          <c:layoutTarget val="inner"/>
          <c:xMode val="edge"/>
          <c:yMode val="edge"/>
          <c:x val="8.3771048183645627E-2"/>
          <c:y val="0.12951193123760293"/>
          <c:w val="0.82802301487099927"/>
          <c:h val="0.64551030834886092"/>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layout>
                <c:manualLayout>
                  <c:x val="9.3009989033840931E-2"/>
                  <c:y val="0"/>
                </c:manualLayout>
              </c:layout>
              <c:showVal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отчет'!$L$826:$O$826</c:f>
              <c:numCache>
                <c:formatCode>General</c:formatCode>
                <c:ptCount val="4"/>
                <c:pt idx="0">
                  <c:v>1</c:v>
                </c:pt>
                <c:pt idx="1">
                  <c:v>3</c:v>
                </c:pt>
                <c:pt idx="2">
                  <c:v>71</c:v>
                </c:pt>
                <c:pt idx="3">
                  <c:v>3</c:v>
                </c:pt>
              </c:numCache>
            </c:numRef>
          </c:val>
        </c:ser>
        <c:dLbls>
          <c:showVal val="1"/>
        </c:dLbls>
        <c:firstSliceAng val="87"/>
        <c:holeSize val="67"/>
      </c:doughnutChart>
    </c:plotArea>
    <c:legend>
      <c:legendPos val="b"/>
      <c:layout>
        <c:manualLayout>
          <c:xMode val="edge"/>
          <c:yMode val="edge"/>
          <c:x val="0"/>
          <c:y val="0.77478271322954873"/>
          <c:w val="1"/>
          <c:h val="0.22521728677045144"/>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9.7594561948537759E-2"/>
          <c:y val="0.10052503456151955"/>
          <c:w val="0.87446531620943069"/>
          <c:h val="0.84049325854547108"/>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ГП'!$C$74:$C$77</c:f>
              <c:strCache>
                <c:ptCount val="4"/>
                <c:pt idx="0">
                  <c:v>Всего</c:v>
                </c:pt>
                <c:pt idx="1">
                  <c:v>ОБ</c:v>
                </c:pt>
                <c:pt idx="2">
                  <c:v>ФБ</c:v>
                </c:pt>
                <c:pt idx="3">
                  <c:v>ВБС</c:v>
                </c:pt>
              </c:strCache>
            </c:strRef>
          </c:cat>
          <c:val>
            <c:numRef>
              <c:f>'До ГП'!$D$74:$D$77</c:f>
              <c:numCache>
                <c:formatCode>#,##0.0</c:formatCode>
                <c:ptCount val="4"/>
                <c:pt idx="0">
                  <c:v>1011478.7000000001</c:v>
                </c:pt>
                <c:pt idx="1">
                  <c:v>943137.00000000012</c:v>
                </c:pt>
                <c:pt idx="2">
                  <c:v>51952.7</c:v>
                </c:pt>
                <c:pt idx="3">
                  <c:v>16389</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
              <c:idx val="2"/>
              <c:layout>
                <c:manualLayout>
                  <c:x val="0"/>
                  <c:y val="1.6491030174059965E-2"/>
                </c:manualLayout>
              </c:layout>
              <c:dLblPos val="outEnd"/>
              <c:showVal val="1"/>
            </c:dLbl>
            <c:dLblPos val="inEnd"/>
            <c:showVal val="1"/>
          </c:dLbls>
          <c:cat>
            <c:strRef>
              <c:f>'До ГП'!$C$74:$C$77</c:f>
              <c:strCache>
                <c:ptCount val="4"/>
                <c:pt idx="0">
                  <c:v>Всего</c:v>
                </c:pt>
                <c:pt idx="1">
                  <c:v>ОБ</c:v>
                </c:pt>
                <c:pt idx="2">
                  <c:v>ФБ</c:v>
                </c:pt>
                <c:pt idx="3">
                  <c:v>ВБС</c:v>
                </c:pt>
              </c:strCache>
            </c:strRef>
          </c:cat>
          <c:val>
            <c:numRef>
              <c:f>'До ГП'!$E$74:$E$77</c:f>
              <c:numCache>
                <c:formatCode>#,##0.0</c:formatCode>
                <c:ptCount val="4"/>
                <c:pt idx="0">
                  <c:v>1013635.3</c:v>
                </c:pt>
                <c:pt idx="1">
                  <c:v>936921</c:v>
                </c:pt>
                <c:pt idx="2">
                  <c:v>51952.7</c:v>
                </c:pt>
                <c:pt idx="3">
                  <c:v>24761.599999999995</c:v>
                </c:pt>
              </c:numCache>
            </c:numRef>
          </c:val>
        </c:ser>
        <c:dLbls>
          <c:showVal val="1"/>
        </c:dLbls>
        <c:gapWidth val="52"/>
        <c:axId val="141889920"/>
        <c:axId val="141891456"/>
      </c:barChart>
      <c:catAx>
        <c:axId val="141889920"/>
        <c:scaling>
          <c:orientation val="minMax"/>
        </c:scaling>
        <c:axPos val="b"/>
        <c:tickLblPos val="nextTo"/>
        <c:txPr>
          <a:bodyPr/>
          <a:lstStyle/>
          <a:p>
            <a:pPr>
              <a:defRPr sz="800"/>
            </a:pPr>
            <a:endParaRPr lang="ru-RU"/>
          </a:p>
        </c:txPr>
        <c:crossAx val="141891456"/>
        <c:crosses val="autoZero"/>
        <c:auto val="1"/>
        <c:lblAlgn val="ctr"/>
        <c:lblOffset val="100"/>
      </c:catAx>
      <c:valAx>
        <c:axId val="141891456"/>
        <c:scaling>
          <c:orientation val="minMax"/>
          <c:max val="1100000"/>
          <c:min val="0"/>
        </c:scaling>
        <c:axPos val="l"/>
        <c:majorGridlines/>
        <c:numFmt formatCode="#,##0" sourceLinked="0"/>
        <c:tickLblPos val="nextTo"/>
        <c:txPr>
          <a:bodyPr/>
          <a:lstStyle/>
          <a:p>
            <a:pPr>
              <a:defRPr sz="800"/>
            </a:pPr>
            <a:endParaRPr lang="ru-RU"/>
          </a:p>
        </c:txPr>
        <c:crossAx val="141889920"/>
        <c:crosses val="autoZero"/>
        <c:crossBetween val="between"/>
        <c:majorUnit val="500000"/>
        <c:dispUnits>
          <c:builtInUnit val="thousands"/>
        </c:dispUnits>
      </c:valAx>
    </c:plotArea>
    <c:legend>
      <c:legendPos val="r"/>
      <c:layout>
        <c:manualLayout>
          <c:xMode val="edge"/>
          <c:yMode val="edge"/>
          <c:x val="0.54804619818885159"/>
          <c:y val="0.13905475357247019"/>
          <c:w val="0.43272305504830472"/>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a:t>Распределение показателей государственных программ по степени достижения их значений, единиц</a:t>
            </a:r>
          </a:p>
        </c:rich>
      </c:tx>
    </c:title>
    <c:plotArea>
      <c:layout>
        <c:manualLayout>
          <c:layoutTarget val="inner"/>
          <c:xMode val="edge"/>
          <c:yMode val="edge"/>
          <c:x val="0.2175774093149182"/>
          <c:y val="7.3465369804530181E-2"/>
          <c:w val="0.75961047952788574"/>
          <c:h val="0.90599030488422749"/>
        </c:manualLayout>
      </c:layout>
      <c:barChart>
        <c:barDir val="bar"/>
        <c:grouping val="clustered"/>
        <c:ser>
          <c:idx val="0"/>
          <c:order val="0"/>
          <c:spPr>
            <a:ln>
              <a:solidFill>
                <a:schemeClr val="tx1">
                  <a:lumMod val="50000"/>
                  <a:lumOff val="50000"/>
                </a:schemeClr>
              </a:solidFill>
            </a:ln>
          </c:spPr>
          <c:dPt>
            <c:idx val="0"/>
            <c:spPr>
              <a:solidFill>
                <a:srgbClr val="FF0000"/>
              </a:solidFill>
              <a:ln>
                <a:solidFill>
                  <a:schemeClr val="tx1">
                    <a:lumMod val="50000"/>
                    <a:lumOff val="50000"/>
                  </a:schemeClr>
                </a:solidFill>
              </a:ln>
            </c:spPr>
          </c:dPt>
          <c:dPt>
            <c:idx val="1"/>
            <c:spPr>
              <a:solidFill>
                <a:srgbClr val="FF0000"/>
              </a:solidFill>
              <a:ln>
                <a:solidFill>
                  <a:schemeClr val="tx1">
                    <a:lumMod val="50000"/>
                    <a:lumOff val="50000"/>
                  </a:schemeClr>
                </a:solidFill>
              </a:ln>
            </c:spPr>
          </c:dPt>
          <c:dPt>
            <c:idx val="2"/>
            <c:spPr>
              <a:solidFill>
                <a:srgbClr val="FF0000"/>
              </a:solidFill>
              <a:ln>
                <a:solidFill>
                  <a:schemeClr val="tx1">
                    <a:lumMod val="50000"/>
                    <a:lumOff val="50000"/>
                  </a:schemeClr>
                </a:solidFill>
              </a:ln>
            </c:spPr>
          </c:dPt>
          <c:dPt>
            <c:idx val="3"/>
            <c:spPr>
              <a:solidFill>
                <a:srgbClr val="FF0000"/>
              </a:solidFill>
              <a:ln>
                <a:solidFill>
                  <a:schemeClr val="tx1">
                    <a:lumMod val="50000"/>
                    <a:lumOff val="50000"/>
                  </a:schemeClr>
                </a:solidFill>
              </a:ln>
            </c:spPr>
          </c:dPt>
          <c:dPt>
            <c:idx val="5"/>
            <c:spPr>
              <a:solidFill>
                <a:srgbClr val="FF0000"/>
              </a:solidFill>
              <a:ln>
                <a:solidFill>
                  <a:schemeClr val="tx1">
                    <a:lumMod val="50000"/>
                    <a:lumOff val="50000"/>
                  </a:schemeClr>
                </a:solidFill>
              </a:ln>
            </c:spPr>
          </c:dPt>
          <c:dPt>
            <c:idx val="6"/>
            <c:spPr>
              <a:solidFill>
                <a:srgbClr val="FF0000"/>
              </a:solidFill>
              <a:ln>
                <a:solidFill>
                  <a:schemeClr val="tx1">
                    <a:lumMod val="50000"/>
                    <a:lumOff val="50000"/>
                  </a:schemeClr>
                </a:solidFill>
              </a:ln>
            </c:spPr>
          </c:dPt>
          <c:dPt>
            <c:idx val="7"/>
            <c:spPr>
              <a:solidFill>
                <a:schemeClr val="accent6">
                  <a:lumMod val="75000"/>
                </a:schemeClr>
              </a:solidFill>
              <a:ln>
                <a:solidFill>
                  <a:schemeClr val="tx1">
                    <a:lumMod val="50000"/>
                    <a:lumOff val="50000"/>
                  </a:schemeClr>
                </a:solidFill>
              </a:ln>
            </c:spPr>
          </c:dPt>
          <c:dPt>
            <c:idx val="8"/>
            <c:spPr>
              <a:solidFill>
                <a:srgbClr val="FFC000"/>
              </a:solidFill>
              <a:ln>
                <a:solidFill>
                  <a:schemeClr val="tx1">
                    <a:lumMod val="50000"/>
                    <a:lumOff val="50000"/>
                  </a:schemeClr>
                </a:solidFill>
              </a:ln>
            </c:spPr>
          </c:dPt>
          <c:dPt>
            <c:idx val="9"/>
            <c:spPr>
              <a:solidFill>
                <a:srgbClr val="FFC000"/>
              </a:solidFill>
              <a:ln>
                <a:solidFill>
                  <a:schemeClr val="tx1">
                    <a:lumMod val="50000"/>
                    <a:lumOff val="50000"/>
                  </a:schemeClr>
                </a:solidFill>
              </a:ln>
            </c:spPr>
          </c:dPt>
          <c:dPt>
            <c:idx val="10"/>
            <c:spPr>
              <a:solidFill>
                <a:srgbClr val="92D050"/>
              </a:solidFill>
              <a:ln>
                <a:solidFill>
                  <a:schemeClr val="tx1">
                    <a:lumMod val="50000"/>
                    <a:lumOff val="50000"/>
                  </a:schemeClr>
                </a:solidFill>
              </a:ln>
            </c:spPr>
          </c:dPt>
          <c:dPt>
            <c:idx val="11"/>
            <c:spPr>
              <a:solidFill>
                <a:srgbClr val="00B050"/>
              </a:solidFill>
              <a:ln>
                <a:solidFill>
                  <a:schemeClr val="tx1">
                    <a:lumMod val="50000"/>
                    <a:lumOff val="50000"/>
                  </a:schemeClr>
                </a:solidFill>
              </a:ln>
            </c:spPr>
          </c:dPt>
          <c:dPt>
            <c:idx val="12"/>
            <c:spPr>
              <a:solidFill>
                <a:srgbClr val="00B050"/>
              </a:solidFill>
              <a:ln>
                <a:solidFill>
                  <a:schemeClr val="tx1">
                    <a:lumMod val="50000"/>
                    <a:lumOff val="50000"/>
                  </a:schemeClr>
                </a:solidFill>
              </a:ln>
            </c:spPr>
          </c:dPt>
          <c:dPt>
            <c:idx val="13"/>
            <c:spPr>
              <a:solidFill>
                <a:srgbClr val="00B0F0"/>
              </a:solidFill>
              <a:ln>
                <a:solidFill>
                  <a:schemeClr val="tx1">
                    <a:lumMod val="50000"/>
                    <a:lumOff val="50000"/>
                  </a:schemeClr>
                </a:solidFill>
              </a:ln>
            </c:spPr>
          </c:dPt>
          <c:dPt>
            <c:idx val="14"/>
            <c:spPr>
              <a:solidFill>
                <a:srgbClr val="00B0F0"/>
              </a:solidFill>
              <a:ln>
                <a:solidFill>
                  <a:schemeClr val="tx1">
                    <a:lumMod val="50000"/>
                    <a:lumOff val="50000"/>
                  </a:schemeClr>
                </a:solidFill>
              </a:ln>
            </c:spPr>
          </c:dPt>
          <c:dPt>
            <c:idx val="15"/>
            <c:spPr>
              <a:solidFill>
                <a:srgbClr val="00B0F0"/>
              </a:solidFill>
              <a:ln>
                <a:solidFill>
                  <a:schemeClr val="tx1">
                    <a:lumMod val="50000"/>
                    <a:lumOff val="50000"/>
                  </a:schemeClr>
                </a:solidFill>
              </a:ln>
            </c:spPr>
          </c:dPt>
          <c:dPt>
            <c:idx val="16"/>
            <c:spPr>
              <a:solidFill>
                <a:srgbClr val="005EA4"/>
              </a:solidFill>
              <a:ln>
                <a:solidFill>
                  <a:schemeClr val="tx1">
                    <a:lumMod val="50000"/>
                    <a:lumOff val="50000"/>
                  </a:schemeClr>
                </a:solidFill>
              </a:ln>
            </c:spPr>
          </c:dPt>
          <c:dPt>
            <c:idx val="17"/>
            <c:spPr>
              <a:solidFill>
                <a:srgbClr val="005EA4"/>
              </a:solidFill>
              <a:ln>
                <a:solidFill>
                  <a:schemeClr val="tx1">
                    <a:lumMod val="50000"/>
                    <a:lumOff val="50000"/>
                  </a:schemeClr>
                </a:solidFill>
              </a:ln>
            </c:spPr>
          </c:dPt>
          <c:dPt>
            <c:idx val="18"/>
            <c:spPr>
              <a:solidFill>
                <a:srgbClr val="7030A0"/>
              </a:solidFill>
              <a:ln>
                <a:solidFill>
                  <a:schemeClr val="tx1">
                    <a:lumMod val="50000"/>
                    <a:lumOff val="50000"/>
                  </a:schemeClr>
                </a:solidFill>
              </a:ln>
            </c:spPr>
          </c:dPt>
          <c:dPt>
            <c:idx val="19"/>
            <c:spPr>
              <a:solidFill>
                <a:srgbClr val="7030A0"/>
              </a:solidFill>
              <a:ln>
                <a:solidFill>
                  <a:schemeClr val="tx1">
                    <a:lumMod val="50000"/>
                    <a:lumOff val="50000"/>
                  </a:schemeClr>
                </a:solidFill>
              </a:ln>
            </c:spPr>
          </c:dPt>
          <c:dPt>
            <c:idx val="20"/>
            <c:spPr>
              <a:solidFill>
                <a:srgbClr val="7030A0"/>
              </a:solidFill>
              <a:ln>
                <a:solidFill>
                  <a:schemeClr val="tx1">
                    <a:lumMod val="50000"/>
                    <a:lumOff val="50000"/>
                  </a:schemeClr>
                </a:solidFill>
              </a:ln>
            </c:spPr>
          </c:dPt>
          <c:dPt>
            <c:idx val="21"/>
            <c:spPr>
              <a:solidFill>
                <a:schemeClr val="accent2">
                  <a:lumMod val="50000"/>
                </a:schemeClr>
              </a:solidFill>
              <a:ln>
                <a:solidFill>
                  <a:schemeClr val="tx1">
                    <a:lumMod val="50000"/>
                    <a:lumOff val="50000"/>
                  </a:schemeClr>
                </a:solidFill>
              </a:ln>
            </c:spPr>
          </c:dPt>
          <c:dPt>
            <c:idx val="22"/>
            <c:spPr>
              <a:solidFill>
                <a:srgbClr val="FF0000"/>
              </a:solidFill>
              <a:ln>
                <a:solidFill>
                  <a:schemeClr val="tx1">
                    <a:lumMod val="50000"/>
                    <a:lumOff val="50000"/>
                  </a:schemeClr>
                </a:solidFill>
              </a:ln>
            </c:spPr>
          </c:dPt>
          <c:dPt>
            <c:idx val="23"/>
            <c:spPr>
              <a:solidFill>
                <a:srgbClr val="FF0000"/>
              </a:solidFill>
              <a:ln>
                <a:solidFill>
                  <a:schemeClr val="tx1">
                    <a:lumMod val="50000"/>
                    <a:lumOff val="50000"/>
                  </a:schemeClr>
                </a:solidFill>
              </a:ln>
            </c:spPr>
          </c:dPt>
          <c:dLbls>
            <c:dLblPos val="outEnd"/>
            <c:showVal val="1"/>
          </c:dLbls>
          <c:cat>
            <c:strRef>
              <c:f>'Аналитический отчет (2)'!$J$919:$AG$919</c:f>
              <c:strCache>
                <c:ptCount val="24"/>
                <c:pt idx="0">
                  <c:v>0%</c:v>
                </c:pt>
                <c:pt idx="1">
                  <c:v>от 0 до 10%</c:v>
                </c:pt>
                <c:pt idx="2">
                  <c:v>от 10 до 20%</c:v>
                </c:pt>
                <c:pt idx="3">
                  <c:v>от 20 до 30%</c:v>
                </c:pt>
                <c:pt idx="4">
                  <c:v>от 30 до 40%</c:v>
                </c:pt>
                <c:pt idx="5">
                  <c:v>от 40 до 50%</c:v>
                </c:pt>
                <c:pt idx="6">
                  <c:v>от 50 до 60%</c:v>
                </c:pt>
                <c:pt idx="7">
                  <c:v>от 60 до 70%</c:v>
                </c:pt>
                <c:pt idx="8">
                  <c:v>от 70 до 80%</c:v>
                </c:pt>
                <c:pt idx="9">
                  <c:v>от 80 до 90%</c:v>
                </c:pt>
                <c:pt idx="10">
                  <c:v>от 90 до 100%</c:v>
                </c:pt>
                <c:pt idx="11">
                  <c:v>100%</c:v>
                </c:pt>
                <c:pt idx="12">
                  <c:v>от 100 до 110%</c:v>
                </c:pt>
                <c:pt idx="13">
                  <c:v>от 110 до 120%</c:v>
                </c:pt>
                <c:pt idx="14">
                  <c:v>от 120 до 130%</c:v>
                </c:pt>
                <c:pt idx="15">
                  <c:v>от 130 до 140%</c:v>
                </c:pt>
                <c:pt idx="16">
                  <c:v>от 140 до 150%</c:v>
                </c:pt>
                <c:pt idx="17">
                  <c:v>от 150 до 160%</c:v>
                </c:pt>
                <c:pt idx="18">
                  <c:v>от 160 до 170%</c:v>
                </c:pt>
                <c:pt idx="19">
                  <c:v>от 170 до 180%</c:v>
                </c:pt>
                <c:pt idx="20">
                  <c:v>от 180 до 190%</c:v>
                </c:pt>
                <c:pt idx="21">
                  <c:v>от 190 до 200%</c:v>
                </c:pt>
                <c:pt idx="22">
                  <c:v>от 200 до 300%</c:v>
                </c:pt>
                <c:pt idx="23">
                  <c:v>более 300%</c:v>
                </c:pt>
              </c:strCache>
            </c:strRef>
          </c:cat>
          <c:val>
            <c:numRef>
              <c:f>'Аналитический отчет (2)'!$J$920:$AG$920</c:f>
              <c:numCache>
                <c:formatCode>General</c:formatCode>
                <c:ptCount val="24"/>
                <c:pt idx="0">
                  <c:v>12</c:v>
                </c:pt>
                <c:pt idx="1">
                  <c:v>1</c:v>
                </c:pt>
                <c:pt idx="2">
                  <c:v>1</c:v>
                </c:pt>
                <c:pt idx="3">
                  <c:v>3</c:v>
                </c:pt>
                <c:pt idx="4">
                  <c:v>0</c:v>
                </c:pt>
                <c:pt idx="5">
                  <c:v>1</c:v>
                </c:pt>
                <c:pt idx="6">
                  <c:v>9</c:v>
                </c:pt>
                <c:pt idx="7">
                  <c:v>9</c:v>
                </c:pt>
                <c:pt idx="8">
                  <c:v>12</c:v>
                </c:pt>
                <c:pt idx="9">
                  <c:v>31</c:v>
                </c:pt>
                <c:pt idx="10">
                  <c:v>81</c:v>
                </c:pt>
                <c:pt idx="11">
                  <c:v>248</c:v>
                </c:pt>
                <c:pt idx="12">
                  <c:v>154</c:v>
                </c:pt>
                <c:pt idx="13">
                  <c:v>30</c:v>
                </c:pt>
                <c:pt idx="14">
                  <c:v>27</c:v>
                </c:pt>
                <c:pt idx="15">
                  <c:v>11</c:v>
                </c:pt>
                <c:pt idx="16">
                  <c:v>4</c:v>
                </c:pt>
                <c:pt idx="17">
                  <c:v>8</c:v>
                </c:pt>
                <c:pt idx="18">
                  <c:v>10</c:v>
                </c:pt>
                <c:pt idx="19">
                  <c:v>3</c:v>
                </c:pt>
                <c:pt idx="20">
                  <c:v>2</c:v>
                </c:pt>
                <c:pt idx="21">
                  <c:v>3</c:v>
                </c:pt>
                <c:pt idx="22">
                  <c:v>9</c:v>
                </c:pt>
                <c:pt idx="23">
                  <c:v>8</c:v>
                </c:pt>
              </c:numCache>
            </c:numRef>
          </c:val>
        </c:ser>
        <c:dLbls/>
        <c:gapWidth val="38"/>
        <c:axId val="89388544"/>
        <c:axId val="89390464"/>
      </c:barChart>
      <c:catAx>
        <c:axId val="89388544"/>
        <c:scaling>
          <c:orientation val="minMax"/>
        </c:scaling>
        <c:axPos val="l"/>
        <c:title>
          <c:tx>
            <c:rich>
              <a:bodyPr rot="-5400000" vert="horz"/>
              <a:lstStyle/>
              <a:p>
                <a:pPr>
                  <a:defRPr b="0"/>
                </a:pPr>
                <a:r>
                  <a:rPr lang="ru-RU" b="0"/>
                  <a:t>Степень достижения запланированных значений показателей (интервалы), %</a:t>
                </a:r>
              </a:p>
            </c:rich>
          </c:tx>
        </c:title>
        <c:tickLblPos val="nextTo"/>
        <c:txPr>
          <a:bodyPr/>
          <a:lstStyle/>
          <a:p>
            <a:pPr>
              <a:defRPr sz="900"/>
            </a:pPr>
            <a:endParaRPr lang="ru-RU"/>
          </a:p>
        </c:txPr>
        <c:crossAx val="89390464"/>
        <c:crosses val="autoZero"/>
        <c:auto val="1"/>
        <c:lblAlgn val="ctr"/>
        <c:lblOffset val="100"/>
      </c:catAx>
      <c:valAx>
        <c:axId val="89390464"/>
        <c:scaling>
          <c:orientation val="minMax"/>
          <c:max val="253"/>
          <c:min val="0"/>
        </c:scaling>
        <c:axPos val="b"/>
        <c:numFmt formatCode="General" sourceLinked="1"/>
        <c:majorTickMark val="none"/>
        <c:tickLblPos val="none"/>
        <c:crossAx val="89388544"/>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100" b="0"/>
            </a:pPr>
            <a:r>
              <a:rPr lang="ru-RU" sz="1100" b="0"/>
              <a:t>Достижение плановых значений показателей, единиц</a:t>
            </a:r>
          </a:p>
        </c:rich>
      </c:tx>
      <c:layout>
        <c:manualLayout>
          <c:xMode val="edge"/>
          <c:yMode val="edge"/>
          <c:x val="0.14281020326159868"/>
          <c:y val="0"/>
        </c:manualLayout>
      </c:layout>
    </c:title>
    <c:plotArea>
      <c:layout>
        <c:manualLayout>
          <c:layoutTarget val="inner"/>
          <c:xMode val="edge"/>
          <c:yMode val="edge"/>
          <c:x val="0.110809748616454"/>
          <c:y val="0.12031562300769187"/>
          <c:w val="0.77374233914710855"/>
          <c:h val="0.64014771024284434"/>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отчет'!$L$7:$O$7</c:f>
              <c:numCache>
                <c:formatCode>General</c:formatCode>
                <c:ptCount val="4"/>
                <c:pt idx="0">
                  <c:v>8</c:v>
                </c:pt>
                <c:pt idx="1">
                  <c:v>19</c:v>
                </c:pt>
                <c:pt idx="2">
                  <c:v>95</c:v>
                </c:pt>
                <c:pt idx="3">
                  <c:v>4</c:v>
                </c:pt>
              </c:numCache>
            </c:numRef>
          </c:val>
        </c:ser>
        <c:dLbls>
          <c:showVal val="1"/>
        </c:dLbls>
        <c:firstSliceAng val="60"/>
        <c:holeSize val="67"/>
      </c:doughnutChart>
      <c:spPr>
        <a:noFill/>
        <a:ln w="25400">
          <a:noFill/>
        </a:ln>
      </c:spPr>
    </c:plotArea>
    <c:legend>
      <c:legendPos val="b"/>
      <c:layout>
        <c:manualLayout>
          <c:xMode val="edge"/>
          <c:yMode val="edge"/>
          <c:x val="0"/>
          <c:y val="0.75811255454266957"/>
          <c:w val="0.97934541990080448"/>
          <c:h val="0.24188754513358682"/>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b="0"/>
            </a:pPr>
            <a:r>
              <a:rPr lang="ru-RU" sz="1200" b="0"/>
              <a:t>Освоение финансирования, млн. рублей</a:t>
            </a:r>
          </a:p>
        </c:rich>
      </c:tx>
    </c:title>
    <c:plotArea>
      <c:layout>
        <c:manualLayout>
          <c:layoutTarget val="inner"/>
          <c:xMode val="edge"/>
          <c:yMode val="edge"/>
          <c:x val="0.11322130784014195"/>
          <c:y val="0.13778848621840251"/>
          <c:w val="0.86557841901852173"/>
          <c:h val="0.78502446975572637"/>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dLbls>
            <c:txPr>
              <a:bodyPr/>
              <a:lstStyle/>
              <a:p>
                <a:pPr>
                  <a:defRPr sz="900"/>
                </a:pPr>
                <a:endParaRPr lang="ru-RU"/>
              </a:p>
            </c:txPr>
            <c:dLblPos val="outEnd"/>
            <c:showVal val="1"/>
          </c:dLbls>
          <c:cat>
            <c:strRef>
              <c:f>'До ГП'!$C$11:$C$14</c:f>
              <c:strCache>
                <c:ptCount val="4"/>
                <c:pt idx="0">
                  <c:v>Всего</c:v>
                </c:pt>
                <c:pt idx="1">
                  <c:v>ОБ</c:v>
                </c:pt>
                <c:pt idx="2">
                  <c:v>ФБ</c:v>
                </c:pt>
                <c:pt idx="3">
                  <c:v>ВБС</c:v>
                </c:pt>
              </c:strCache>
            </c:strRef>
          </c:cat>
          <c:val>
            <c:numRef>
              <c:f>'До ГП'!$D$11:$D$14</c:f>
              <c:numCache>
                <c:formatCode>#,##0.0</c:formatCode>
                <c:ptCount val="4"/>
                <c:pt idx="0">
                  <c:v>22415930.140000001</c:v>
                </c:pt>
                <c:pt idx="1">
                  <c:v>9526905.639999995</c:v>
                </c:pt>
                <c:pt idx="2">
                  <c:v>466073</c:v>
                </c:pt>
                <c:pt idx="3">
                  <c:v>12422951.499999996</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txPr>
              <a:bodyPr/>
              <a:lstStyle/>
              <a:p>
                <a:pPr>
                  <a:defRPr sz="900"/>
                </a:pPr>
                <a:endParaRPr lang="ru-RU"/>
              </a:p>
            </c:txPr>
            <c:dLblPos val="inEnd"/>
            <c:showVal val="1"/>
          </c:dLbls>
          <c:cat>
            <c:strRef>
              <c:f>'До ГП'!$C$11:$C$14</c:f>
              <c:strCache>
                <c:ptCount val="4"/>
                <c:pt idx="0">
                  <c:v>Всего</c:v>
                </c:pt>
                <c:pt idx="1">
                  <c:v>ОБ</c:v>
                </c:pt>
                <c:pt idx="2">
                  <c:v>ФБ</c:v>
                </c:pt>
                <c:pt idx="3">
                  <c:v>ВБС</c:v>
                </c:pt>
              </c:strCache>
            </c:strRef>
          </c:cat>
          <c:val>
            <c:numRef>
              <c:f>'До ГП'!$E$11:$E$14</c:f>
              <c:numCache>
                <c:formatCode>#,##0.0</c:formatCode>
                <c:ptCount val="4"/>
                <c:pt idx="0">
                  <c:v>21853990.60582</c:v>
                </c:pt>
                <c:pt idx="1">
                  <c:v>9293073.44582</c:v>
                </c:pt>
                <c:pt idx="2">
                  <c:v>395441.96000000008</c:v>
                </c:pt>
                <c:pt idx="3">
                  <c:v>12165475.200000001</c:v>
                </c:pt>
              </c:numCache>
            </c:numRef>
          </c:val>
        </c:ser>
        <c:dLbls>
          <c:showVal val="1"/>
        </c:dLbls>
        <c:gapWidth val="50"/>
        <c:axId val="89465216"/>
        <c:axId val="89466752"/>
      </c:barChart>
      <c:catAx>
        <c:axId val="89465216"/>
        <c:scaling>
          <c:orientation val="minMax"/>
        </c:scaling>
        <c:axPos val="b"/>
        <c:tickLblPos val="nextTo"/>
        <c:txPr>
          <a:bodyPr/>
          <a:lstStyle/>
          <a:p>
            <a:pPr>
              <a:defRPr sz="900"/>
            </a:pPr>
            <a:endParaRPr lang="ru-RU"/>
          </a:p>
        </c:txPr>
        <c:crossAx val="89466752"/>
        <c:crosses val="autoZero"/>
        <c:auto val="1"/>
        <c:lblAlgn val="ctr"/>
        <c:lblOffset val="100"/>
      </c:catAx>
      <c:valAx>
        <c:axId val="89466752"/>
        <c:scaling>
          <c:orientation val="minMax"/>
          <c:max val="25000000"/>
          <c:min val="0"/>
        </c:scaling>
        <c:axPos val="l"/>
        <c:majorGridlines/>
        <c:numFmt formatCode="#,##0" sourceLinked="0"/>
        <c:tickLblPos val="nextTo"/>
        <c:txPr>
          <a:bodyPr/>
          <a:lstStyle/>
          <a:p>
            <a:pPr>
              <a:defRPr sz="800"/>
            </a:pPr>
            <a:endParaRPr lang="ru-RU"/>
          </a:p>
        </c:txPr>
        <c:crossAx val="89465216"/>
        <c:crosses val="autoZero"/>
        <c:crossBetween val="between"/>
        <c:majorUnit val="10000000"/>
        <c:dispUnits>
          <c:builtInUnit val="thousands"/>
        </c:dispUnits>
      </c:valAx>
    </c:plotArea>
    <c:legend>
      <c:legendPos val="r"/>
      <c:layout>
        <c:manualLayout>
          <c:xMode val="edge"/>
          <c:yMode val="edge"/>
          <c:x val="0.48609612040745931"/>
          <c:y val="0.17112728416834333"/>
          <c:w val="0.50773201174226146"/>
          <c:h val="0.17129511962543928"/>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ru-RU"/>
  <c:chart>
    <c:title>
      <c:tx>
        <c:rich>
          <a:bodyPr/>
          <a:lstStyle/>
          <a:p>
            <a:pPr algn="ctr" rtl="0">
              <a:defRPr sz="1100" b="0"/>
            </a:pPr>
            <a:r>
              <a:rPr lang="ru-RU" sz="1100" b="0" i="0" baseline="0">
                <a:effectLst/>
              </a:rPr>
              <a:t>Достижение плановых значений показателей, единиц</a:t>
            </a:r>
            <a:endParaRPr lang="ru-RU" sz="1100">
              <a:effectLst/>
            </a:endParaRPr>
          </a:p>
        </c:rich>
      </c:tx>
    </c:title>
    <c:plotArea>
      <c:layout>
        <c:manualLayout>
          <c:layoutTarget val="inner"/>
          <c:xMode val="edge"/>
          <c:yMode val="edge"/>
          <c:x val="0.12203554020786783"/>
          <c:y val="0.14750244759968445"/>
          <c:w val="0.77283405776368563"/>
          <c:h val="0.6577520110346301"/>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отчет'!$L$156:$O$156</c:f>
              <c:numCache>
                <c:formatCode>General</c:formatCode>
                <c:ptCount val="4"/>
                <c:pt idx="0">
                  <c:v>0</c:v>
                </c:pt>
                <c:pt idx="1">
                  <c:v>2</c:v>
                </c:pt>
                <c:pt idx="2">
                  <c:v>34</c:v>
                </c:pt>
                <c:pt idx="3">
                  <c:v>2</c:v>
                </c:pt>
              </c:numCache>
            </c:numRef>
          </c:val>
        </c:ser>
        <c:dLbls>
          <c:showVal val="1"/>
        </c:dLbls>
        <c:firstSliceAng val="89"/>
        <c:holeSize val="67"/>
      </c:doughnutChart>
    </c:plotArea>
    <c:legend>
      <c:legendPos val="b"/>
      <c:legendEntry>
        <c:idx val="0"/>
        <c:delete val="1"/>
      </c:legendEntry>
      <c:layout>
        <c:manualLayout>
          <c:xMode val="edge"/>
          <c:yMode val="edge"/>
          <c:x val="1.9476341143986203E-3"/>
          <c:y val="0.78715306212650138"/>
          <c:w val="0.99624541600602579"/>
          <c:h val="0.20889908884244801"/>
        </c:manualLayout>
      </c:layout>
      <c:txPr>
        <a:bodyPr/>
        <a:lstStyle/>
        <a:p>
          <a:pPr>
            <a:defRPr sz="900"/>
          </a:pPr>
          <a:endParaRPr lang="ru-RU"/>
        </a:p>
      </c:txPr>
    </c:legend>
    <c:plotVisOnly val="1"/>
    <c:dispBlanksAs val="zero"/>
  </c:chart>
  <c:txPr>
    <a:bodyPr/>
    <a:lstStyle/>
    <a:p>
      <a:pPr>
        <a:defRPr sz="1000">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1200"/>
            </a:pPr>
            <a:r>
              <a:rPr lang="ru-RU" sz="1200" b="0" i="0" u="none" strike="noStrike" baseline="0">
                <a:effectLst/>
              </a:rPr>
              <a:t>Освоение финансирования, млн. рублей</a:t>
            </a:r>
            <a:endParaRPr lang="ru-RU" sz="1200"/>
          </a:p>
        </c:rich>
      </c:tx>
    </c:title>
    <c:plotArea>
      <c:layout>
        <c:manualLayout>
          <c:layoutTarget val="inner"/>
          <c:xMode val="edge"/>
          <c:yMode val="edge"/>
          <c:x val="0.10773769702534071"/>
          <c:y val="0.14319166998850835"/>
          <c:w val="0.86382401983575263"/>
          <c:h val="0.78833858434503556"/>
        </c:manualLayout>
      </c:layout>
      <c:barChart>
        <c:barDir val="col"/>
        <c:grouping val="clustered"/>
        <c:ser>
          <c:idx val="0"/>
          <c:order val="0"/>
          <c:tx>
            <c:strRef>
              <c:f>'До ГП'!$D$5</c:f>
              <c:strCache>
                <c:ptCount val="1"/>
                <c:pt idx="0">
                  <c:v>План</c:v>
                </c:pt>
              </c:strCache>
            </c:strRef>
          </c:tx>
          <c:spPr>
            <a:solidFill>
              <a:schemeClr val="tx2">
                <a:lumMod val="60000"/>
                <a:lumOff val="40000"/>
              </a:schemeClr>
            </a:solidFill>
            <a:ln>
              <a:solidFill>
                <a:schemeClr val="tx1">
                  <a:lumMod val="50000"/>
                  <a:lumOff val="50000"/>
                </a:schemeClr>
              </a:solidFill>
            </a:ln>
          </c:spPr>
          <c:cat>
            <c:strRef>
              <c:f>'До ГП'!$C$15:$C$18</c:f>
              <c:strCache>
                <c:ptCount val="4"/>
                <c:pt idx="0">
                  <c:v>Всего</c:v>
                </c:pt>
                <c:pt idx="1">
                  <c:v>ОБ</c:v>
                </c:pt>
                <c:pt idx="2">
                  <c:v>ФБ</c:v>
                </c:pt>
                <c:pt idx="3">
                  <c:v>МБ</c:v>
                </c:pt>
              </c:strCache>
            </c:strRef>
          </c:cat>
          <c:val>
            <c:numRef>
              <c:f>'До ГП'!$D$15:$D$18</c:f>
              <c:numCache>
                <c:formatCode>#,##0.0</c:formatCode>
                <c:ptCount val="4"/>
                <c:pt idx="0">
                  <c:v>13080478.913809998</c:v>
                </c:pt>
                <c:pt idx="1">
                  <c:v>12366969.913810002</c:v>
                </c:pt>
                <c:pt idx="2">
                  <c:v>448307.3</c:v>
                </c:pt>
                <c:pt idx="3">
                  <c:v>265201.7</c:v>
                </c:pt>
              </c:numCache>
            </c:numRef>
          </c:val>
        </c:ser>
        <c:ser>
          <c:idx val="1"/>
          <c:order val="1"/>
          <c:tx>
            <c:strRef>
              <c:f>'До ГП'!$E$5</c:f>
              <c:strCache>
                <c:ptCount val="1"/>
                <c:pt idx="0">
                  <c:v>Исполнение</c:v>
                </c:pt>
              </c:strCache>
            </c:strRef>
          </c:tx>
          <c:spPr>
            <a:solidFill>
              <a:srgbClr val="FF9900"/>
            </a:solidFill>
            <a:ln>
              <a:solidFill>
                <a:schemeClr val="tx1">
                  <a:lumMod val="50000"/>
                  <a:lumOff val="50000"/>
                </a:schemeClr>
              </a:solidFill>
            </a:ln>
          </c:spPr>
          <c:dLbls>
            <c:dLblPos val="inEnd"/>
            <c:showVal val="1"/>
          </c:dLbls>
          <c:cat>
            <c:strRef>
              <c:f>'До ГП'!$C$15:$C$18</c:f>
              <c:strCache>
                <c:ptCount val="4"/>
                <c:pt idx="0">
                  <c:v>Всего</c:v>
                </c:pt>
                <c:pt idx="1">
                  <c:v>ОБ</c:v>
                </c:pt>
                <c:pt idx="2">
                  <c:v>ФБ</c:v>
                </c:pt>
                <c:pt idx="3">
                  <c:v>МБ</c:v>
                </c:pt>
              </c:strCache>
            </c:strRef>
          </c:cat>
          <c:val>
            <c:numRef>
              <c:f>'До ГП'!$E$15:$E$18</c:f>
              <c:numCache>
                <c:formatCode>#,##0.0</c:formatCode>
                <c:ptCount val="4"/>
                <c:pt idx="0">
                  <c:v>12851717.758639999</c:v>
                </c:pt>
                <c:pt idx="1">
                  <c:v>12258602.242339995</c:v>
                </c:pt>
                <c:pt idx="2">
                  <c:v>447123.91629999992</c:v>
                </c:pt>
                <c:pt idx="3">
                  <c:v>145991.6</c:v>
                </c:pt>
              </c:numCache>
            </c:numRef>
          </c:val>
        </c:ser>
        <c:dLbls>
          <c:showVal val="1"/>
        </c:dLbls>
        <c:gapWidth val="68"/>
        <c:axId val="89805568"/>
        <c:axId val="89807104"/>
      </c:barChart>
      <c:catAx>
        <c:axId val="89805568"/>
        <c:scaling>
          <c:orientation val="minMax"/>
        </c:scaling>
        <c:axPos val="b"/>
        <c:tickLblPos val="nextTo"/>
        <c:txPr>
          <a:bodyPr/>
          <a:lstStyle/>
          <a:p>
            <a:pPr>
              <a:defRPr sz="800"/>
            </a:pPr>
            <a:endParaRPr lang="ru-RU"/>
          </a:p>
        </c:txPr>
        <c:crossAx val="89807104"/>
        <c:crosses val="autoZero"/>
        <c:auto val="1"/>
        <c:lblAlgn val="ctr"/>
        <c:lblOffset val="100"/>
      </c:catAx>
      <c:valAx>
        <c:axId val="89807104"/>
        <c:scaling>
          <c:orientation val="minMax"/>
          <c:max val="14500000"/>
          <c:min val="0"/>
        </c:scaling>
        <c:axPos val="l"/>
        <c:majorGridlines/>
        <c:numFmt formatCode="#,##0" sourceLinked="0"/>
        <c:tickLblPos val="nextTo"/>
        <c:txPr>
          <a:bodyPr/>
          <a:lstStyle/>
          <a:p>
            <a:pPr>
              <a:defRPr sz="800"/>
            </a:pPr>
            <a:endParaRPr lang="ru-RU"/>
          </a:p>
        </c:txPr>
        <c:crossAx val="89805568"/>
        <c:crosses val="autoZero"/>
        <c:crossBetween val="between"/>
        <c:majorUnit val="5000000"/>
        <c:dispUnits>
          <c:builtInUnit val="thousands"/>
        </c:dispUnits>
      </c:valAx>
    </c:plotArea>
    <c:legend>
      <c:legendPos val="r"/>
      <c:layout>
        <c:manualLayout>
          <c:xMode val="edge"/>
          <c:yMode val="edge"/>
          <c:x val="0.62004809464641275"/>
          <c:y val="0.27891261527068717"/>
          <c:w val="0.35918683396972861"/>
          <c:h val="0.15707567804024497"/>
        </c:manualLayout>
      </c:layout>
      <c:spPr>
        <a:solidFill>
          <a:schemeClr val="bg1"/>
        </a:solidFill>
      </c:spPr>
      <c:txPr>
        <a:bodyPr/>
        <a:lstStyle/>
        <a:p>
          <a:pPr>
            <a:defRPr sz="1050"/>
          </a:pPr>
          <a:endParaRPr lang="ru-RU"/>
        </a:p>
      </c:txPr>
    </c:legend>
    <c:plotVisOnly val="1"/>
    <c:dispBlanksAs val="gap"/>
  </c:chart>
  <c:txPr>
    <a:bodyPr/>
    <a:lstStyle/>
    <a:p>
      <a:pPr>
        <a:defRPr>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sz="900" b="0"/>
            </a:pPr>
            <a:r>
              <a:rPr lang="ru-RU" sz="1100" b="0" i="0" baseline="0">
                <a:effectLst/>
              </a:rPr>
              <a:t>Достижение плановых значений показателей, единиц</a:t>
            </a:r>
            <a:endParaRPr lang="ru-RU" sz="900">
              <a:effectLst/>
            </a:endParaRPr>
          </a:p>
        </c:rich>
      </c:tx>
    </c:title>
    <c:plotArea>
      <c:layout>
        <c:manualLayout>
          <c:layoutTarget val="inner"/>
          <c:xMode val="edge"/>
          <c:yMode val="edge"/>
          <c:x val="6.1055083483489946E-2"/>
          <c:y val="0.13077811970497358"/>
          <c:w val="0.86798756734355575"/>
          <c:h val="0.652364073557261"/>
        </c:manualLayout>
      </c:layout>
      <c:doughnutChart>
        <c:varyColors val="1"/>
        <c:ser>
          <c:idx val="0"/>
          <c:order val="0"/>
          <c:spPr>
            <a:solidFill>
              <a:srgbClr val="92D050"/>
            </a:solidFill>
            <a:ln>
              <a:solidFill>
                <a:schemeClr val="tx1">
                  <a:lumMod val="50000"/>
                  <a:lumOff val="50000"/>
                </a:schemeClr>
              </a:solidFill>
            </a:ln>
          </c:spPr>
          <c:explosion val="6"/>
          <c:dPt>
            <c:idx val="0"/>
            <c:spPr>
              <a:solidFill>
                <a:srgbClr val="FF0000"/>
              </a:solidFill>
              <a:ln>
                <a:solidFill>
                  <a:schemeClr val="tx1">
                    <a:lumMod val="50000"/>
                    <a:lumOff val="50000"/>
                  </a:schemeClr>
                </a:solidFill>
              </a:ln>
            </c:spPr>
          </c:dPt>
          <c:dPt>
            <c:idx val="1"/>
            <c:spPr>
              <a:solidFill>
                <a:srgbClr val="FFC000"/>
              </a:solidFill>
              <a:ln>
                <a:solidFill>
                  <a:schemeClr val="tx1">
                    <a:lumMod val="50000"/>
                    <a:lumOff val="50000"/>
                  </a:schemeClr>
                </a:solidFill>
              </a:ln>
            </c:spPr>
          </c:dPt>
          <c:dPt>
            <c:idx val="2"/>
            <c:spPr>
              <a:solidFill>
                <a:srgbClr val="00B050"/>
              </a:solidFill>
              <a:ln>
                <a:solidFill>
                  <a:schemeClr val="tx1">
                    <a:lumMod val="50000"/>
                    <a:lumOff val="50000"/>
                  </a:schemeClr>
                </a:solidFill>
              </a:ln>
            </c:spPr>
          </c:dPt>
          <c:dPt>
            <c:idx val="3"/>
            <c:spPr>
              <a:solidFill>
                <a:srgbClr val="9A57CD"/>
              </a:solidFill>
              <a:ln>
                <a:solidFill>
                  <a:schemeClr val="tx1">
                    <a:lumMod val="50000"/>
                    <a:lumOff val="50000"/>
                  </a:schemeClr>
                </a:solidFill>
              </a:ln>
            </c:spPr>
          </c:dPt>
          <c:dLbls>
            <c:dLbl>
              <c:idx val="0"/>
              <c:delete val="1"/>
            </c:dLbl>
            <c:showVal val="1"/>
            <c:showLeaderLines val="1"/>
          </c:dLbls>
          <c:cat>
            <c:strRef>
              <c:f>'Аналитический отчет'!$L$6:$O$6</c:f>
              <c:strCache>
                <c:ptCount val="4"/>
                <c:pt idx="0">
                  <c:v>Низкая степень (ниже 75%)</c:v>
                </c:pt>
                <c:pt idx="1">
                  <c:v>Средняя степень (от 75 до 95%)</c:v>
                </c:pt>
                <c:pt idx="2">
                  <c:v>Высокая степень (от 95 до 150%)</c:v>
                </c:pt>
                <c:pt idx="3">
                  <c:v>Значительное перевыполнение (выше 150%)</c:v>
                </c:pt>
              </c:strCache>
            </c:strRef>
          </c:cat>
          <c:val>
            <c:numRef>
              <c:f>'Аналитический отчет'!$L$211:$O$211</c:f>
              <c:numCache>
                <c:formatCode>General</c:formatCode>
                <c:ptCount val="4"/>
                <c:pt idx="0">
                  <c:v>0</c:v>
                </c:pt>
                <c:pt idx="1">
                  <c:v>6</c:v>
                </c:pt>
                <c:pt idx="2">
                  <c:v>43</c:v>
                </c:pt>
                <c:pt idx="3">
                  <c:v>7</c:v>
                </c:pt>
              </c:numCache>
            </c:numRef>
          </c:val>
        </c:ser>
        <c:dLbls>
          <c:showVal val="1"/>
        </c:dLbls>
        <c:firstSliceAng val="93"/>
        <c:holeSize val="67"/>
      </c:doughnutChart>
    </c:plotArea>
    <c:legend>
      <c:legendPos val="b"/>
      <c:legendEntry>
        <c:idx val="0"/>
        <c:delete val="1"/>
      </c:legendEntry>
      <c:layout>
        <c:manualLayout>
          <c:xMode val="edge"/>
          <c:yMode val="edge"/>
          <c:x val="0"/>
          <c:y val="0.80289793680853194"/>
          <c:w val="0.99461796852147932"/>
          <c:h val="0.1971019917889352"/>
        </c:manualLayout>
      </c:layout>
      <c:txPr>
        <a:bodyPr/>
        <a:lstStyle/>
        <a:p>
          <a:pPr>
            <a:defRPr sz="900"/>
          </a:pPr>
          <a:endParaRPr lang="ru-RU"/>
        </a:p>
      </c:txPr>
    </c:legend>
    <c:plotVisOnly val="1"/>
    <c:dispBlanksAs val="zero"/>
  </c:chart>
  <c:txPr>
    <a:bodyPr/>
    <a:lstStyle/>
    <a:p>
      <a:pPr>
        <a:defRPr>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B70D0-6188-4E27-A2D6-B143049E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76</Pages>
  <Words>26010</Words>
  <Characters>148258</Characters>
  <Application>Microsoft Office Word</Application>
  <DocSecurity>0</DocSecurity>
  <Lines>1235</Lines>
  <Paragraphs>347</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Годовой отчет о ходе реализации и оценке эффективности государственных программ </vt:lpstr>
      <vt:lpstr>Краткая информация о результатах реализации государственных программ Мурманской </vt:lpstr>
      <vt:lpstr>Государственная программа 1 «Развитие здравоохранения» </vt:lpstr>
      <vt:lpstr>Государственная программа 2 «Развитие образования»</vt:lpstr>
      <vt:lpstr>Государственная программа 3 «Социальная поддержка граждан и развитие социально-т</vt:lpstr>
      <vt:lpstr>Государственная программа 4 «Развитие физической культуры и спорта»</vt:lpstr>
      <vt:lpstr>Государственная программа 5 «Развитие культуры и сохранение культурного наследия</vt:lpstr>
      <vt:lpstr>Государственная программа 6 «Управление развитием регионального рынка труда»</vt:lpstr>
      <vt:lpstr>Государственная программа 7 «Обеспечение комфортной среды проживания населения р</vt:lpstr>
      <vt:lpstr>Государственная программа 8 «Энергоэффективность и развитие энергетики»</vt:lpstr>
      <vt:lpstr>Государственная программа 9 «Обеспечение общественного порядка и безопасности на</vt:lpstr>
      <vt:lpstr>Государственная программа 10 «Охрана окружающей среды и воспроизводство природны</vt:lpstr>
      <vt:lpstr>Государственная программа 11 «Развитие рыбохозяйственного комплекса» </vt:lpstr>
    </vt:vector>
  </TitlesOfParts>
  <Company/>
  <LinksUpToDate>false</LinksUpToDate>
  <CharactersWithSpaces>173921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А.С.</dc:creator>
  <cp:lastModifiedBy>grigorian</cp:lastModifiedBy>
  <cp:revision>7</cp:revision>
  <cp:lastPrinted>2015-05-06T06:53:00Z</cp:lastPrinted>
  <dcterms:created xsi:type="dcterms:W3CDTF">2015-04-14T06:54:00Z</dcterms:created>
  <dcterms:modified xsi:type="dcterms:W3CDTF">2015-05-06T07:04:00Z</dcterms:modified>
</cp:coreProperties>
</file>